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ATAS/732/2013 vom 11. Juli 2013</w:t>
      </w:r>
    </w:p>
    <w:p>
      <w:r>
        <w:t>GE Cour de justice, 2013-07-11, FR</w:t>
      </w:r>
    </w:p>
    <w:p>
      <w:r>
        <w:rPr>
          <w:b/>
        </w:rPr>
        <w:t xml:space="preserve">Quelle: </w:t>
      </w:r>
      <w:r>
        <w:t>https://mcp.opencaselaw.ch/entscheid/ge_gerichte_ATAS_732_2013</w:t>
      </w:r>
    </w:p>
    <w:p>
      <w:r>
        <w:t>FR: GE_GERICHTE ATAS/732/2013 du 11 juillet 2013</w:t>
      </w:r>
    </w:p>
    <w:p>
      <w:r>
        <w:t>IT: GE_GERICHTE ATAS/732/2013 del 11 luglio 2013</w:t>
      </w:r>
    </w:p>
    <w:p>
      <w:pPr>
        <w:pStyle w:val="Heading2"/>
      </w:pPr>
      <w:r>
        <w:t>Erwägungen</w:t>
      </w:r>
    </w:p>
    <w:p>
      <w:r>
        <w:rPr>
          <w:b/>
        </w:rPr>
        <w:t>E. 1</w:t>
      </w:r>
    </w:p>
    <w:p>
      <w:r>
        <w:t>Conformément à l'art. 134 al. 1 let. a ch. 2 de la loi sur l'organisation judiciaire du 26 septembre 2010 (LOJ; RSG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La LPGA, entrée en vigueur le 1er janvier 2003, est applicable au cas d’espèce.</w:t>
      </w:r>
    </w:p>
    <w:p>
      <w:r>
        <w:rPr>
          <w:b/>
        </w:rPr>
        <w:t>E. 3</w:t>
      </w:r>
    </w:p>
    <w:p>
      <w:r>
        <w:t>Interjeté dans les forme et délai prescrits par la loi, le recours est recevable (art. 56ss LPGA).</w:t>
      </w:r>
    </w:p>
    <w:p>
      <w:r>
        <w:rPr>
          <w:b/>
        </w:rPr>
        <w:t>E. 4</w:t>
      </w:r>
    </w:p>
    <w:p>
      <w:r>
        <w:t>L’objet du litige porte sur le droit de la recourante à des mesures d’orientation professionnelle. La décision querellée statuant également sur son droit à la rente, ce point devra également être examiné.</w:t>
      </w:r>
    </w:p>
    <w:p>
      <w:r>
        <w:rPr>
          <w:b/>
        </w:rPr>
        <w:t>E. 5</w:t>
      </w:r>
    </w:p>
    <w:p>
      <w:r>
        <w:t>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w:t>
      </w:r>
    </w:p>
    <w:p>
      <w:r>
        <w:t>A/2162/2012 - 11/18 -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 au moins, à trois quarts de rente s’il est invalide à 60% au moins, à une demi-rente s’il est invalide à 50 % au moins ou à un quart de rente s’il est invalide à 40 % au moins.</w:t>
      </w:r>
    </w:p>
    <w:p>
      <w:r>
        <w:rPr>
          <w:b/>
        </w:rPr>
        <w:t>E. 6</w:t>
      </w:r>
    </w:p>
    <w:p>
      <w:r>
        <w:t>Conformément à l'art. 8 al. 1er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 Aux termes de l'art. 17 LAI,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124 V 108 consid. 2a). Dès lors, en règle générale, l'assuré ne peut pas prétendre à la meilleure formation possible dans son cas, la loi ne visant en effet qu'à assurer les mesures de réadaptation qui sont nécessaires et suffisantes compte tenu du cas d'espèce (ATF 121 V 258 consid. 2c).</w:t>
      </w:r>
    </w:p>
    <w:p>
      <w:r>
        <w:t>A/2162/2012 - 12/18 - De plus, il faut que l'invalidité soit d'une certaine gravité pour que le droit à des mesures de réadaptation soit ouvert. La jurisprudence a ainsi fixé le seuil d'invalidité à partir duquel des mesures de réadaptation doivent être octroyées à 20 % (ATF 130 V 488 consid. 4.2; ATF 124 V 108 consid. 3a). Pour déterminer si une mesure de réadaptation d'ordre professionnel est de nature à rétablir, améliorer, sauvegarder ou favoriser l'usage de la capacité de gain de l'assuré, il y a lieu d'effectuer un pronostic sur les chances de succès des mesures demandées (ATF 132 V 215 consid. 3.2.2). Le but poursuivi par la mesure doit donc s'inscrire dans une certaine durée, et son succès doit être proportionné à son coût. Enfin, la mesure concrète doit être raisonnablement exigible de l'assuré (ATF 130 V 488 consid. 4.3.2; VSI 2002 p. 112 consid. 2). En effet, une mesure de reclassement ne saurait être efficace que si la personne à laquelle elle est destinée est susceptible, au moins partiellement, d'être réadaptée. Les mesures ne seront donc pas allouées si elles semblent d'emblée vouées à l'échec (ATFA non publié I 170/06 du 16 février 2007, consid. 3.2 et 3.4).</w:t>
      </w:r>
    </w:p>
    <w:p>
      <w:r>
        <w:rPr>
          <w:b/>
        </w:rPr>
        <w:t>E. 7</w:t>
      </w:r>
    </w:p>
    <w:p>
      <w:r>
        <w:t>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w:t>
      </w:r>
    </w:p>
    <w:p>
      <w:r>
        <w:t>A/2162/2012 - 13/18 - enfin que les conclusions de l’expert soient bien motivées (ATF 125 V 351 consid. 3; ATF 122 V 157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non publié 9C_405/2008 du 29 septembre 2008, consid. 3.2).</w:t>
      </w:r>
    </w:p>
    <w:p>
      <w:r>
        <w:rPr>
          <w:b/>
        </w:rPr>
        <w:t>E. 8</w:t>
      </w:r>
    </w:p>
    <w:p>
      <w:r>
        <w:t>a)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w:t>
      </w:r>
    </w:p>
    <w:p>
      <w:r>
        <w:t>A/2162/2012 - 14/18 - et la décision elle-même), doivent être prises en compte (ATF 129 V 222 consid. 4.1; ATF 128 V 174). b) Pour fixer le revenu sans invalidité, il faut établir ce que l'assuré aurait, au degré de la vraisemblance prépondérante, réellement pu obtenir au moment déterminant s'il n'était pas invalide (RAMA 2000 n° 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 I 168/05 du 24 avril 2006, consid. 3.3; ATFA non publié B 80/01 du 17 octobre 2003, consid. 5.2.2). c)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 ATFA non publié 9C_142/2009 du 20 novembre 2009, consid. 4.1; ATFA non publié 9C_237/2007 du 24 août 2007, consid. 5.1).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w:t>
      </w:r>
    </w:p>
    <w:p>
      <w:r>
        <w:t>A/2162/2012 - 15/18 - globale maximum de 25 % sur le salaire statistique permet de tenir compte des différents éléments qui peuvent influencer le revenu d'une activité lucrative (ATF 126 V 75 consid. 5b).</w:t>
      </w:r>
    </w:p>
    <w:p>
      <w:r>
        <w:rPr>
          <w:b/>
        </w:rPr>
        <w:t>E. 9</w:t>
      </w:r>
    </w:p>
    <w:p>
      <w:r>
        <w:t>En l’espèce, l’expertise réalisée par le Dr P__________ satisfait tous les critères dégagés par la jurisprudence et doit donc se voir reconnaître une pleine valeur probante. Elle se fonde en effet sur l’étude du dossier médical, comprend une anamnèse complète, et ses conclusions claires sont étayées par un examen clinique complet. Il n’existe d’ailleurs aucun rapport médical susceptible de remettre en cause les constatations de l’expert, qui rejoignent largement celles des médecins traitants de la recourante. Le Dr L__________ a en particulier admis lors de son audition que les limitations fonctionnelles décrites par l’expert, soit l’impossibilité de porter des charges supérieures à 10 kg, d’accomplir des mouvements répétitifs en porte-à-faux du rachis et la nécessité d’alterner les positions assise et debout chaque heure, correspondaient à celles qu’il avait retenues. La recourante a au demeurant elle-même admis les limitations établies par les médecins, comme cela ressort de son écriture du 6 mars 2013.</w:t>
      </w:r>
    </w:p>
    <w:p>
      <w:r>
        <w:rPr>
          <w:b/>
        </w:rPr>
        <w:t>E. 10</w:t>
      </w:r>
    </w:p>
    <w:p>
      <w:r>
        <w:t>Eu égard à ce qui précède, il n'existe aucun motif de s'écarter des conclusions du Dr P__________. En particulier, l'anémie, la gastrite et l'hypothyroïdie nouvellement diagnostiquées en 2012 sont transitoires et n'ont pas de répercussion sur la capacité de travail, de l'avis même du médecin traitant. Or, selon l'expert, la recourante dispose d'une capacité de travail entière dans une activité adaptée. Se fondant sur cette conclusion, l'intimé a établi le degré d'invalidité à 35 %. Ce calcul ne prête pas flanc à la critique. En effet, le recours au salaire statistique moyen dans les activités simples et répétitives selon l'ESS 2010 est conforme à la jurisprudence, et il y a lieu d'admettre que le marché du travail offre un éventail suffisamment large d'activités légères, dont on doit convenir qu'un nombre significatif sont adaptées aux limitations de la recourante et accessibles sans aucune formation particulière (ATF non publié 9C_31/2010 du 28 septembre 2010, consid. 4.3). La réduction supplémentaire de 15% appliquée par l'intimée est également adéquate, les limitations fonctionnelles et l'âge de la recourante ne justifiant pas une réduction supérieure. Le revenu sans invalidité pris en considération est celui que la recourante aurait réalisé selon les indications de son employeur. Partant, la décision de l'intimé doit être confirmée en tant qu'elle refuse l'octroi d'une rente, le degré d'invalidité de 35 % n'étant pas suffisant pour ouvrir le droit à une telle prestation.</w:t>
      </w:r>
    </w:p>
    <w:p>
      <w:r>
        <w:rPr>
          <w:b/>
        </w:rPr>
        <w:t>E. 11</w:t>
      </w:r>
    </w:p>
    <w:p>
      <w:r>
        <w:t>Ce taux est en revanche supérieur au seuil à partir duquel des mesures de réadaptation, par exemple un stage d'observation, peuvent être octroyées. Il convient ainsi de déterminer si la recourante y a droit. A cet effet, il s'agit en premier lieu d'établir si l'activité proposée par les EPI était adaptée aux limitations fonctionnelles de la recourante. Contrairement à ce qu’affirme cette dernière, tel est bien le cas et le Dr L__________ l'a d’ailleurs</w:t>
      </w:r>
    </w:p>
    <w:p>
      <w:r>
        <w:t>A/2162/2012 - 16/18 - admis lors de son audition. Ce médecin a certes assorti cette indication d’une réserve concernant l’absence de mouvement de rotation. Cependant, l'activité telle que décrite – se saisir de petites pièces sur la gauche, puis les placer devant soi avant de les mettre sur sa droite – n’implique pas de mouvements en porte-à-faux du buste, puisqu’il suffit de tendre les bras, voire de faire un pas de côté, comme le relève l’intimé. Partant, le grief de la recourante quant au caractère inadapté du stage tombe à faux. Les déclarations initiales de ses médecins ne permettent pas non plus de parvenir à une autre appréciation. En effet, ceux-ci se sont fondés non pas sur une connaissance directe du poste occupé mais sur les déclarations de leur patiente. Le Dr L__________ a ainsi exposé qu’il avait établi un arrêt de travail car la recourante lui déclarait qu'elle devait accomplir des mouvements contre-indiqués et rester assise trop longtemps. Or, il était loisible à la recourante de faire de fréquentes pauses, comme elle l'a d'ailleurs reconnu dans son écriture du 29 mai 2012. De plus, selon le rapport des EPI d’avril 2012, la recourante décidait elle- même de la fréquence à laquelle elle alternait les positions assise et debout. Enfin, il semble que l'incidence de l'atteinte soit ressentie par la recourante de manière plus importante qu'elle ne l'est objectivement, du point de vue médical. Elle a en effet indiqué aux EPI ne pas tolérer la station assise plus de quelques minutes, ce qui ne correspond ni aux constatations de l’expert ni à celles de ses médecins traitants. Par ailleurs, la recourante a demandé en août 2010, soit avant même de débuter son stage, à ne le suivre qu’à mi-temps, alors même que le Dr L__________ admettait l’exercice à plein temps d’une activité adaptée aux limitations fonctionnelles. Or, conformément à la jurisprudence citée, les constatations d’ordre médical l’emportent sur l’appréciation subjective par un assuré de sa capacité de travail. Cela étant, ce qui précède ne suffit pas à conclure à un manque de faculté subjective de reclassement qui permettrait de considérer que les mesures d’ordre professionnel seraient vouées à l’échec. En effet, il y a lieu de rappeler que selon l’art. 21 al. 4 LPGA,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Selon une jurisprudence constante, le droit à des mesures de reclassement à cause d'invalidité ne peut être nié en raison du manque de faculté subjective de reclassement que dans la mesure où la procédure de mise en demeure prescrite à l'art. 21 al. 4 LPGA a été observée (ATF non publié 9C_100/2008 du 4 février 2009, consid. 3.2 ; ATFA non publié I 552/06 du 13 juin 2007, consid. 4.1).</w:t>
      </w:r>
    </w:p>
    <w:p>
      <w:r>
        <w:t>A/2162/2012 - 17/18 - L'intimé n'ayant pas adressé la sommation légale à la recourante, il convient de lui renvoyer la cause pour qu'il y procède, avant de statuer une nouvelle fois sur le droit aux mesures d'ordre professionnel en fonction de la suite que la recourante aura donnée à cette mise en demeure. La possibilité d'adresser la recourante à l'ORIF devrait être envisagée, afin de renouveler les expériences et d'apporter un regard neuf sur ses capacités.</w:t>
      </w:r>
    </w:p>
    <w:p>
      <w:r>
        <w:rPr>
          <w:b/>
        </w:rPr>
        <w:t>E. 12</w:t>
      </w:r>
    </w:p>
    <w:p>
      <w:r>
        <w:t>Eu égard à ce qui précède, le recours est partiellement admis. La recourante a droit à des dépens, qu'il convient de fixer à 1'500 fr. (art. 61 let. g LPGA). La procédure n'étant pas gratuite en matière d’assurance-invalidité, l'intimé supportera l’émolument de 500 fr. (art. 69 al. 1bis LAI).</w:t>
      </w:r>
    </w:p>
    <w:p>
      <w:r>
        <w:t>A/2162/2012 - 18/18 -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