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ATAS/732/2012 vom 13. März 2007</w:t>
      </w:r>
    </w:p>
    <w:p>
      <w:r>
        <w:t>GE Cour de justice, 2007-03-13, FR</w:t>
      </w:r>
    </w:p>
    <w:p>
      <w:r>
        <w:rPr>
          <w:b/>
        </w:rPr>
        <w:t xml:space="preserve">Quelle: </w:t>
      </w:r>
      <w:r>
        <w:t>https://mcp.opencaselaw.ch/entscheid/ge_gerichte_ATAS_732_2012</w:t>
      </w:r>
    </w:p>
    <w:p>
      <w:r>
        <w:t>FR: GE_GERICHTE ATAS/732/2012 du 13 mars 2007</w:t>
      </w:r>
    </w:p>
    <w:p>
      <w:r>
        <w:t>IT: GE_GERICHTE ATAS/732/2012 del 13 marzo 2007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Pronostic.</w:t>
      </w:r>
    </w:p>
    <w:p>
      <w:r>
        <w:rPr>
          <w:b/>
        </w:rPr>
        <w:t>E. 13</w:t>
      </w:r>
    </w:p>
    <w:p>
      <w:r>
        <w:t>Toutes remarques utiles et propositions de l’expert. 5. Invite l’expert à déposer à sa meilleure convenance un rapport en trois exemplaires à la Cour de céans. 6. Réserve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