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ATAS/732/2009 vom 27. Oktober 2008</w:t>
      </w:r>
    </w:p>
    <w:p>
      <w:r>
        <w:t>GE Cour de justice, 2008-10-27, FR</w:t>
      </w:r>
    </w:p>
    <w:p>
      <w:r>
        <w:rPr>
          <w:b/>
        </w:rPr>
        <w:t xml:space="preserve">Quelle: </w:t>
      </w:r>
      <w:r>
        <w:t>https://mcp.opencaselaw.ch/entscheid/ge_gerichte_ATAS_732_2009</w:t>
      </w:r>
    </w:p>
    <w:p>
      <w:r>
        <w:t>FR: GE_GERICHTE ATAS/732/2009 du 27 octobre 2008</w:t>
      </w:r>
    </w:p>
    <w:p>
      <w:r>
        <w:t>IT: GE_GERICHTE ATAS/732/2009 del 27 ottobre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Il connaît également, en application de l'art. 56V al. 2 let. a LOJ,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À teneur de l’art. 1er al. 1er LPC, les dispositions de la LPGA s’appliquent aux prestations complémentaires, à moins que la LPC n’y déroge expressément (cf. également art. 1A LPCC).</w:t>
      </w:r>
    </w:p>
    <w:p>
      <w:r>
        <w:rPr>
          <w:b/>
        </w:rPr>
        <w:t>E. 3</w:t>
      </w:r>
    </w:p>
    <w:p>
      <w:r>
        <w:t>Le recours a été interjeté dans les forme et délai prévus par la loi, le recours est recevable (art. 56 ss LPGA, art. 43 al. 1 LPCC).</w:t>
      </w:r>
    </w:p>
    <w:p>
      <w:r>
        <w:rPr>
          <w:b/>
        </w:rPr>
        <w:t>E. 4</w:t>
      </w:r>
    </w:p>
    <w:p>
      <w:r>
        <w:t>Le litige porte sur la prise en compte du produit hypothétique de l'usufruit dont jouit l'intéressée sur un bien immobilier sis à Genève, dans le calcul de prestations complémentaires.</w:t>
      </w:r>
    </w:p>
    <w:p>
      <w:r>
        <w:rPr>
          <w:b/>
        </w:rPr>
        <w:t>E. 5</w:t>
      </w:r>
    </w:p>
    <w:p>
      <w:r>
        <w:t>Ont droit aux prestations complémentaires, les personnes qui perçoivent une rente de l'assurance-vieillesse et survivants ou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Il ne doit cependant pas dépasser, dans l'année civile, le quadruple du montant annuel minimum de la rente simple de vieillesse, soit pour 2005 la somme de 30'900 fr. Une réglementation similaire régit les prestations complémentaires cantonales (cf. art. 3, 4 et 5 al. 1 let. d LPCC). Il y a lieu à cet égard d’opérer une distinction entre les prestations complémentaires fédérales et cantonales, les montants pris en compte dans le calcul n'étant pas les mêmes.</w:t>
      </w:r>
    </w:p>
    <w:p>
      <w:r>
        <w:rPr>
          <w:b/>
        </w:rPr>
        <w:t>E. 6</w:t>
      </w:r>
    </w:p>
    <w:p>
      <w:r>
        <w:t>a. Au niveau fédéral, les revenus déterminants comprennent, notamment, le produit de la fortune mobilière et immobilière (art. 3c al. 1 let. b LPC), un dixième de la fortune nette dans la mesure où elle dépasse 25’000 fr. pour un célibataire (art. 3c al. 1 let. c LPC), les rentes, pensions et autres prestations périodiques, y compris les rentes de l’AVS et de l’AI (art. 3c al. 1 let. d LPC), et les ressources et parts de fortune dont un ayant droit s’est dessaisi (art. 3c al. 1 let. g LPC).</w:t>
      </w:r>
    </w:p>
    <w:p>
      <w:r>
        <w:t>A/4856/2008 - 4/7 - b. La fortune est évaluée selon les règles de la législation sur l’impôt cantonal direct du canton du domicile (art. 17 al. 1 de l'ordonnance fédérale sur les prestations complémentaires à l'assurance-vieillesse, survivants et invalidité, du 15 janvier 1971 (OPC-AVS/AI)). Lorsqu’un immeuble ne sert pas d’habitation au requérant ou à une personne comprise dans le calcul de la prestation complémentaire, il sera pris en compte à sa valeur vénale (art. 17 al. 4 OPC- AVS/AI). La valeur vénale d'un immeuble doit reposer sur une valeur officielle ou une valeur reconnue comme telle; au besoin, elle sera établie au moyen d'une estimation (dans ce sens, voir le ch. 2110 des directives de l'OFAS concernant les prestations complémentaires à l'AVS/AI [DPC]). Selon la jurisprudence, par valeur vénale d'un immeuble selon l'art. 17 al. 4 OPC-AVS/AI, l'on entend le prix de vente du bien dans le cadre de transactions qui se déroulent dans des conditions normales (ATFA non publié P 50/00 Gr, du 8 février 2001, consid. 2a). Le TFA a notamment jugé que la méthode consistant à déterminer la valeur vénale d'un immeuble en calculant la moyenne entre la valeur fiscale et la valeur d'assurance ne prêtait pas le flanc à la critique, dans la mesure où, concrètement, elle aboutissait à une évaluation du bien qui n'était manifestement pas trop élevée (ATFA non publié P 50/00 Gr, du 8 février 2001, consid. 2b). A cette occasion, le TFA a aussi souligné que si dans le domaine des transactions immobilières l'on détermine le prix d'un immeuble en combinant la valeur d'investissement (valeur du terrain et de la construction) et la valeur de rendement, l'on ne pouvait pas exiger l'application d'une telle méthode dans le domaine des prestations complémentaires. Il fallait donc admettre des méthodes d'évaluation adaptées et raisonnables. c.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entrée en vigueur le 1er janvier 2001,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D'après les explications fournies par l'autorité intimée,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d. Quant aux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(LIPP-V)</w:t>
      </w:r>
    </w:p>
    <w:p>
      <w:r>
        <w:t>A/4856/2008 - 5/7 - fixe le taux de cette déduction à 7% de la valeur locative si l'âge du bâtiment au début de la période fiscale est inférieur ou égal à 10 ans (let. a), et à 17,5%, si l'âge du bâtiment au début de la période fiscale est supérieur à 10 ans (let. b).</w:t>
      </w:r>
    </w:p>
    <w:p>
      <w:r>
        <w:rPr>
          <w:b/>
        </w:rPr>
        <w:t>E. 7</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comprend, notamment, le produit de la fortune, tant mobilière qu’immobilière (let. b), un cinquième de la fortune nette après déduction d’un montant de 25'000 fr. pour un célibataire (let. c), les rentes de l’assurance-vieillesse et survivants et de l’assurance-invalidité ainsi que les indemnités journalières de l’assurance-invalidité (let. d), les rentes, pensions et autres prestations périodiques (let. f) et les prestations complémentaires fédérales (let. e). c. S'agissant de la fortune immobilière, l'art. 7 al. 7 LPCC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Il convient donc de renvoyer aux développements présentés ci-dessus au sujet de la détermination de la valeur locative dans le domaine des prestations complémentaires fédérales, qui s'appliquent mutatis mutandis aux prestations complémentaires cantonales.</w:t>
      </w:r>
    </w:p>
    <w:p>
      <w:r>
        <w:rPr>
          <w:b/>
        </w:rPr>
        <w:t>E. 8</w:t>
      </w:r>
    </w:p>
    <w:p>
      <w:r>
        <w:t>Un droit d'usufruit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w:t>
      </w:r>
    </w:p>
    <w:p>
      <w:r>
        <w:rPr>
          <w:b/>
        </w:rPr>
        <w:t>E. 9</w:t>
      </w:r>
    </w:p>
    <w:p>
      <w:r>
        <w:t>Selon les Directives concernant les prestations complémentaires à l'AVS et à l'AI, chiffres 2091.1, 2092.1 et 2099 :</w:t>
      </w:r>
    </w:p>
    <w:p>
      <w:r>
        <w:t>"Les revenus de la fortune englobent tous les revenus de la fortune mobilière et immobilière, y compris le produit transférable en Suisse d'une fortune qui se trouve à l'étranger. Elle englobe également le revenu hypothétique des parts de fortune auxquelles il a été renoncé. Le revenu de la fortune immobilière comprend les loyers et fermages, l'usufruit, le droit d'habitation (RCC 1967, p. 212/213), ainsi que la valeur locative du logement</w:t>
      </w:r>
    </w:p>
    <w:p>
      <w:r>
        <w:t>A/4856/2008 - 6/7 - de l'assuré dans son propre immeuble, pour autant que cette valeur ne soit pas déjà comprise dans son revenu d'une activité lucrative. La contre-valeur d'un droit d'habitation ne peut en principe pas être prise en compte comme revenu lorsque son titulaire ne peut plus l'exercer pour des raisons de santé (RCC 1974, p. 195). En cas de renonciation à des éléments de fortune immobilière, le revenu hypothétique à prendre en compte correspond au montant des gains réalisables par des placements avec intérêts de la fortune cédée (RCC 1988, p. 216, consid. 6). En présence d'un droit d'habitation ou d'usufruit, le montant du droit d'habitation ou d'usufruit doit être pris en compte en sus du revenu hypothétique. La valeur du logement occupé par le propriétaire ou l'usufruitier doit être déterminée d'après les règles de la législation sur l'impôt cantonal direct. A défaut de telles règles, celles prévues par la législation sur l'impôt fédéral direct sont déterminantes".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w:t>
      </w:r>
    </w:p>
    <w:p>
      <w:r>
        <w:rPr>
          <w:b/>
        </w:rPr>
        <w:t>E. 10</w:t>
      </w:r>
    </w:p>
    <w:p>
      <w:r>
        <w:t>L'usufruit comme tel est incessible. Mais, sauf disposition contraire - inexistante en l'espèce - de l'acte constitutif d'usufruit (voir l'art. 758 CC), l'exercice de l'usufruit est transférable à un tiers, car il ne s'agit pas d'un droit éminemment personnel.</w:t>
      </w:r>
    </w:p>
    <w:p>
      <w:r>
        <w:rPr>
          <w:b/>
        </w:rPr>
        <w:t>E. 11</w:t>
      </w:r>
    </w:p>
    <w:p>
      <w:r>
        <w:t>Le SPC a, en l'espèce, déterminé la valeur locative du bien immobilier en faisant application du taux forfaitaire de 4.5% de la valeur vénale. L’emploi de ce taux, qui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n’est pas critiquable, dans la mesure où il est utilisé par l’administration fiscale genevoise à l’égard des immeubles situés en dehors du canton de Genève. Ce taux a du reste déjà été confirmé par le Tribunal de céans à plusieurs reprises (ATAS 1040/05 ; ATAS 399/07).</w:t>
      </w:r>
    </w:p>
    <w:p>
      <w:r>
        <w:rPr>
          <w:b/>
        </w:rPr>
        <w:t>E. 12</w:t>
      </w:r>
    </w:p>
    <w:p>
      <w:r>
        <w:t>La fille de l'intéressée considère que la valeur des travaux d'entretien de la villa effectués après le départ de cette dernière en EMS ne devrait pas être prise en compte car celle-ci n'en avait précisément pas profité. Peu importe cependant le fait qu'elle en ait profité ou non, ce qui est déterminant est la valeur de l'usufruit au moment du calcul des prestations complémentaires. Force dès lors est de rejeter le recours.</w:t>
      </w:r>
    </w:p>
    <w:p>
      <w:r>
        <w:t>A/4856/2008 - 7/7 -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