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ATAS/731/2024 vom 26. September 2024</w:t>
      </w:r>
    </w:p>
    <w:p>
      <w:r>
        <w:t>GE Cour de justice, 2024-09-26, FR</w:t>
      </w:r>
    </w:p>
    <w:p>
      <w:r>
        <w:rPr>
          <w:b/>
        </w:rPr>
        <w:t xml:space="preserve">Quelle: </w:t>
      </w:r>
      <w:r>
        <w:t>https://mcp.opencaselaw.ch/entscheid/ge_gerichte_ATAS_731_2024</w:t>
      </w:r>
    </w:p>
    <w:p>
      <w:r>
        <w:t>FR: GE_GERICHTE ATAS/731/2024 du 26 septembre 2024</w:t>
      </w:r>
    </w:p>
    <w:p>
      <w:r>
        <w:t>IT: GE_GERICHTE ATAS/731/2024 del 26 settembre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le recours est recevable.</w:t>
      </w:r>
    </w:p>
    <w:p>
      <w:r>
        <w:rPr>
          <w:b/>
        </w:rPr>
        <w:t>E. 2.1</w:t>
      </w:r>
    </w:p>
    <w:p>
      <w:r>
        <w:t>À teneur de l'art. 1 al. 1 LAI, les dispositions de la LPGA s'appliquent à l'assurance-invalidité, à moins que la loi n'y déroge expressément.</w:t>
      </w:r>
    </w:p>
    <w:p>
      <w:r>
        <w:rPr>
          <w:b/>
        </w:rPr>
        <w:t>E. 2.2</w:t>
      </w:r>
    </w:p>
    <w:p>
      <w:r>
        <w:t>Le 1er janvier 2022 sont entrées en vigueur les modifications de la LAI du 19 juin 2020 (développement continu de l’AI ; RO 2021 705) ainsi que celles du</w:t>
      </w:r>
    </w:p>
    <w:p>
      <w:r>
        <w:rPr>
          <w:b/>
        </w:rPr>
        <w:t>E. 3</w:t>
      </w:r>
    </w:p>
    <w:p>
      <w:r>
        <w:t>novembre 2021 du règlement sur l’assurance-invalidité du 17 janvier 1961 (RAI – RS 831.201 ; RO 2021 706).</w:t>
      </w:r>
    </w:p>
    <w:p>
      <w:r>
        <w:t>A/3919/2023 - 8/27 -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litigieuse est contestée en tant qu’elle limite l’octroi d’une rente d’invalidité pour la période du 1er avril 2021 au 31 décembre 2022, et la supprime dès cette date. Les dispositions légales applicables seront donc citées dans leur teneur en vigueur à partir du 1er janvier 2022.</w:t>
      </w:r>
    </w:p>
    <w:p>
      <w:r>
        <w:rPr>
          <w:b/>
        </w:rPr>
        <w:t>E. 3.1</w:t>
      </w:r>
    </w:p>
    <w:p>
      <w:r>
        <w:t>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bien qu'elles soient visées par la décision administrative et fassent ainsi partie de l’objet de la contestation,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3.2</w:t>
      </w:r>
    </w:p>
    <w:p>
      <w:r>
        <w:t>En l’espèce, il est rappelé que, dans sa décision du 24 octobre 2023, l’intimé a octroyé au recourant le droit à une rente d’invalidité du 1er avril 2021 au 31 décembre 2022, date à laquelle il a supprimé cette prestation au motif que le degré d’invalidité était insuffisant. Le recourant ne conteste la décision litigieuse qu’en ce qui concerne la suppression de sa rente, de sorte que le litige porte sur son droit à une rente entière d’invalidité à partir du 1er janvier 2023.</w:t>
      </w:r>
    </w:p>
    <w:p>
      <w:r>
        <w:rPr>
          <w:b/>
        </w:rPr>
        <w:t>E. 4</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148 V 321 consid. 7.3.1 ; 145 V 209 consid. 5.3 et les références).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4.2.2</w:t>
      </w:r>
    </w:p>
    <w:p>
      <w:r>
        <w:t>Selon la jurisprudence, en cas de troubles psychiques, la capacité de travail réellement exigible doit être évaluée dans le cadre d'une procédure d'établissement</w:t>
      </w:r>
    </w:p>
    <w:p>
      <w:r>
        <w:t>A/3919/2023 - 11/27 -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w:t>
      </w:r>
    </w:p>
    <w:p>
      <w:r>
        <w:t>A/3919/2023 - 12/27 -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w:t>
      </w:r>
    </w:p>
    <w:p>
      <w:r>
        <w:t>A/3919/2023 - 13/27 -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w:t>
      </w:r>
    </w:p>
    <w:p>
      <w:r>
        <w:t>A/3919/2023 - 14/27 -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4.2.3</w:t>
      </w:r>
    </w:p>
    <w:p>
      <w:r>
        <w:t>Le trouble de stress post-traumatique (CIM-10 ; F43)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(ATF 142 V 342 consid. 5.1 et les références). Selon la jurisprudence, pour que le diagnostic d'état de stress post-traumatique de survenue différée puisse être retenu, l'ensemble des critères diagnostiques du DSM-5 et de la CIM-10 doit être présent au plus tard six mois après l'événement (ATF 142 V 342 consid. 5.2.2).</w:t>
      </w:r>
    </w:p>
    <w:p>
      <w:r>
        <w:t>A/3919/2023 - 15/27 - Une motivation particulière est nécessaire dans les cas où, exceptionnellement et pour des motifs déterminés, une durée supérieure à six mois doit être prise en compte (arrêts du Tribunal fédéral 9C_571/2023 du 11 janvier 2024 consid. 6.2 et la référence ; 9C_480/2021 du 8 novembre 2022 consid. 5.3.2 et les références).</w:t>
      </w:r>
    </w:p>
    <w:p>
      <w:r>
        <w:rPr>
          <w:b/>
        </w:rPr>
        <w:t>E. 4.2.4</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4.3</w:t>
      </w:r>
    </w:p>
    <w:p>
      <w:r>
        <w:t>Quel est le degré de gravité de chacun des troubles diagnostiqués (faible, moyen, grave) ?</w:t>
      </w:r>
    </w:p>
    <w:p>
      <w:r>
        <w:rPr>
          <w:b/>
        </w:rPr>
        <w:t>E. 4.4</w:t>
      </w:r>
    </w:p>
    <w:p>
      <w:r>
        <w:t>L’état de santé de la personne expertisée s’est-il amélioré/détérioré depuis le mois d’août 2022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w:t>
      </w:r>
    </w:p>
    <w:p>
      <w:r>
        <w:rPr>
          <w:b/>
        </w:rPr>
        <w:t>E. 5</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A/3919/2023 - 16/27 -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t>A/3919/2023 - 17/27 -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t>A/3919/2023 - 25/27 -</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Selon une jurisprudence constante, le juge des assurances sociales apprécie la légalité des décisions attaquées, en règle générale, d’après l’état de fait existant au moment où la décision litigieuse a été rendue. Les faits survenus postérieurement,</w:t>
      </w:r>
    </w:p>
    <w:p>
      <w:r>
        <w:t>A/3919/2023 - 18/27 -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6.3.1</w:t>
      </w:r>
    </w:p>
    <w:p>
      <w:r>
        <w:t>Si non, ou seulement partiellement, pourquoi ? Quelles sont les limitations fonctionnelles qui entrent en ligne de compte ?</w:t>
      </w:r>
    </w:p>
    <w:p>
      <w:r>
        <w:t>A/3919/2023 - 23/27 -</w:t>
      </w:r>
    </w:p>
    <w:p>
      <w:r>
        <w:rPr>
          <w:b/>
        </w:rPr>
        <w:t>E. 6.3.2</w:t>
      </w:r>
    </w:p>
    <w:p>
      <w:r>
        <w:t>Si oui, quel est le domaine d’activité lucrative adaptée ? À quel taux ? Depuis quelle date ?</w:t>
      </w:r>
    </w:p>
    <w:p>
      <w:r>
        <w:rPr>
          <w:b/>
        </w:rPr>
        <w:t>E. 6.3.3</w:t>
      </w:r>
    </w:p>
    <w:p>
      <w:r>
        <w:t>Dire s'il y a une diminution de rendement et la chiffrer.</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6.6</w:t>
      </w:r>
    </w:p>
    <w:p>
      <w:r>
        <w:t>Quel est votre pronostic quant à l’exigibilité de la reprise d’une activité lucrative ?</w:t>
      </w:r>
    </w:p>
    <w:p>
      <w:r>
        <w:rPr>
          <w:b/>
        </w:rPr>
        <w:t>E. 7</w:t>
      </w:r>
    </w:p>
    <w:p>
      <w:r>
        <w:t>Traitement</w:t>
      </w:r>
    </w:p>
    <w:p>
      <w:r>
        <w:rPr>
          <w:b/>
        </w:rPr>
        <w:t>E. 7.1</w:t>
      </w:r>
    </w:p>
    <w:p>
      <w:r>
        <w:t>Est-ce que la personne expertisée présente un trouble de la personnalité selon les critères diagnostiques des ouvrages de référence et si oui, lequel ? Quel code ?</w:t>
      </w:r>
    </w:p>
    <w:p>
      <w:r>
        <w:rPr>
          <w:b/>
        </w:rPr>
        <w:t>E. 7.1.1</w:t>
      </w:r>
    </w:p>
    <w:p>
      <w:r>
        <w:t>L’examinateur rhumatologue du SMR a estimé que la capacité de travail dans une activité adaptée aux restrictions somatiques serait de 80% dans un délai de trois mois, soit dès le 20 août 2022. Il a cependant clairement recommandé de revoir l’intéressé si une telle reprise professionnelle n’avait pas lieu, soulignant encore que cette aptitude devrait être confirmée par les médecins traitants. Force est donc de constater que le Dr E______ a émis un simple pronostic s’agissant de la capacité de travail de l’intéressé.</w:t>
      </w:r>
    </w:p>
    <w:p>
      <w:r>
        <w:t>A/3919/2023 - 19/27 - Or, deux semaines après l’examen de ce médecin, une nouvelle lésion a été mise en exergue au niveau de l’épaule gauche du recourant, lésion qui a justifié une troisième intervention chirurgicale, réalisée le 21 octobre 2022. Dans son rapport du 2 septembre 2022, le Dr B______ a expressément signalé cette nouvelle atteinte somatique et fait état d’une aggravation de l’état de santé de son patient. Il est dès lors difficilement compréhensible que le Dr D______ ait tout de même pu proposer, dans son avis du 28 septembre 2022, de retenir la capacité de travail hypothétique évoquée par le Dr E______, dont le pronostic favorable ne s’est à l’évidence pas concrétisé.</w:t>
      </w:r>
    </w:p>
    <w:p>
      <w:r>
        <w:rPr>
          <w:b/>
        </w:rPr>
        <w:t>E. 7.1.2</w:t>
      </w:r>
    </w:p>
    <w:p>
      <w:r>
        <w:t>S’agissant de l’appréciation psychiatrique, la Dre G______ a écrit dans son rapport d’expertise que l’évaluation de la capacité de travail dépendait des réponses qui seraient apportées aux discordances qu’elle avait relevées au « point 6.1.3 » (recte : 6.2.3). La psychiatre y a exposé avoir retenu de nombreuses incohérences, ce qui rendait difficile l’appréciation chez l’intéressé qui présentait clairement des avantages secondaires (avec une difficulté à retrouver un emploi à son âge, sans bien parler le français, sans formation dans une activité légère physiquement, avec une démotivation après une longue pause professionnelle) et une exagération des plaintes, mais qui avait beaucoup souffert depuis l’adolescence avec un état de stress post traumatique, suite à un emprisonnement dans son pays d’origine où il avait subi des viols, puis une aggravation depuis 2017. Les discordances devraient être clarifiées en dehors du cadre de l’expertise, pour lui permettre ensuite de se prononcer de façon définitive. Elle a énuméré les renseignements à obtenir qui portaient en particulier sur la description exhaustive d’une journée, les dates des consultations psychiatriques depuis 2019, le droit de garde et la prise en charge des enfants, les rapports d’hospitalisations, l’historique des prises de médicaments auprès des pharmacies, ou encore les symptômes retenus par le psychiatre traitant, le traitement prescrit et les analyses effectuées. En fonction des éléments précités, un examen neuropsychologique avec validation des symptômes devrait être demandé. Sous réserve de réponses plus convaincantes à ces questions, elle estimait que la capacité de travail était nulle dans certaines activités non adaptées et « probablement » de 70%, et non pas de 80% comme retenu précédemment par le SMR, dans une fonction n’impliquant ni gestion de l’administratif ni conduite professionnelle. Il appert ainsi que l’experte s’est livrée à de simples conjectures, faute de disposer de toutes les informations nécessaires, et que son appréciation n’a pas été rendue en pleine connaissance du dossier. Elle n’était par conséquent pas en mesure de répondre au mandat d’expertise et aurait dû s’abstenir de prendre des conclusions hasardeuses.</w:t>
      </w:r>
    </w:p>
    <w:p>
      <w:r>
        <w:rPr>
          <w:b/>
        </w:rPr>
        <w:t>E. 7.1.3</w:t>
      </w:r>
    </w:p>
    <w:p>
      <w:r>
        <w:t>Contrairement à ce que soutient l’intimé, l’instruction complémentaire qui s’impose ne résulte pas de l’évolution de l’état de santé du recourant postérieurement à la décision contestée, mais bien des carences du SMR.</w:t>
      </w:r>
    </w:p>
    <w:p>
      <w:r>
        <w:t>A/3919/2023 - 20/27 - En effet, l’arthro-IRM de l’épaule gauche du 30 mai 2022 a mis en évidence une fissuration labrale et un épaississement du ligament gléno-huméral moyen. Ces lésions ont été dûment signalées par le médecin traitant dans son rapport du 2 septembre 2022. L’aggravation somatique est donc survenue plus d’une année avant le prononcé de la décision litigieuse et n’a pas été prise en considération par le Dr D______. Quant à l’état de santé psychique, la Dre G______ a exposé que le dossier devait être complété et ne permettait en l’état pas de se prononcer sur la capacité de travail. À cet égard, il pourra encore être relevé que la psychiatre n’a semble-t-il pas eu connaissance de l’hospitalisation du recourant survenue le 6 avril 2023, soit deux mois avant ses deux entretiens avec l’intéressé. Le Dr D______ aurait donc dû constater que les conclusions de l’examen rhumatologique et de l’expertise psychiatrique n’étaient pas fiables, puisque ces documents établissaient la nécessité de poursuivre l’instruction.</w:t>
      </w:r>
    </w:p>
    <w:p>
      <w:r>
        <w:rPr>
          <w:b/>
        </w:rPr>
        <w:t>E. 7.1.4</w:t>
      </w:r>
    </w:p>
    <w:p>
      <w:r>
        <w:t>Par conséquent, l’intimé ne pouvait pas se fonder sur le rapport du Dr D______ du 14 août 2023 pour retenir que l’état de santé du recourant s’était amélioré à partir du 28 septembre 2022 et supprimer le droit à la rente le 1er janvier 2023. L’intimé ayant omis de procéder aux investigations qui s’imposaient pourtant clairement, la chambre de céans ordonnera une expertise judiciaire bidisciplinaire, comportant des volets en rhumatologie et psychiatrie, laquelle est confiée aux docteurs L______ et M______.</w:t>
      </w:r>
    </w:p>
    <w:p>
      <w:r>
        <w:t>A/3919/2023 - 21/27 - PAR CES MOTIFS, LA CHAMBRE DES ASSURANCES SOCIALES : Statuant préparatoirement</w:t>
      </w:r>
    </w:p>
    <w:p>
      <w:r>
        <w:t>I. Ordonne une expertise de A______. Commet à ces fins le docteur L______, spécialiste FMH en rhumatologie, Centre médical de N______, route de ______, 1232 Confignon, et le docteur M______, spécialiste FMH en psychiatrie et psychothérapie, rue ______, 1225 Chêne-Bourg. Dit que la mission d’expertise sera la suivante : A. Prendre connaissance du dossier de la cause. B. Si nécessaire, prendre tous renseignements auprès des médecins ayant traité la personne expertisée, en particulier les Drs B______, I______ et C______, et les médecins de la Clinique du O______. C. Examiner et entendre la personne expertisée et si nécessaire, ordonner d'autres examens. D. Charge le Dr L______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Appréciation d'avis médicaux du dossier</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t>9. Capacité de travail</w:t>
      </w:r>
    </w:p>
    <w:p>
      <w:r>
        <w:t>A/3919/2023 - 26/27 -</w:t>
      </w:r>
    </w:p>
    <w:p>
      <w:r>
        <w:rPr>
          <w:b/>
        </w:rPr>
        <w:t>E. 9</w:t>
      </w:r>
    </w:p>
    <w:p>
      <w:r>
        <w:t>Quel est le pronostic ?</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le mois d’août 2022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Des mesures de réadaptation professionnelle sont-elles envisageables ?</w:t>
      </w:r>
    </w:p>
    <w:p>
      <w:r>
        <w:rPr>
          <w:b/>
        </w:rPr>
        <w:t>E. 10.1</w:t>
      </w:r>
    </w:p>
    <w:p>
      <w:r>
        <w:t>Examen du traitement suivi par la personne expertisée et analyse de son adéquation.</w:t>
      </w:r>
    </w:p>
    <w:p>
      <w:r>
        <w:rPr>
          <w:b/>
        </w:rPr>
        <w:t>E. 10.2</w:t>
      </w:r>
    </w:p>
    <w:p>
      <w:r>
        <w:t>En cas de prise de traitement médicamenteux psychotrope, pouvez-vous vérifier la compliance ou la biodisponibilité à l’aide d’un dosage sanguin ?</w:t>
      </w:r>
    </w:p>
    <w:p>
      <w:r>
        <w:rPr>
          <w:b/>
        </w:rPr>
        <w:t>E. 10.3</w:t>
      </w:r>
    </w:p>
    <w:p>
      <w:r>
        <w:t>Est-ce que la personne expertisée s'est engagée ou s'engage dans les traitements qui sont raisonnablement exigibles et possiblement efficaces dans son cas ou n'a-t-elle que peu ou pas de demande de soins ?</w:t>
      </w:r>
    </w:p>
    <w:p>
      <w:r>
        <w:rPr>
          <w:b/>
        </w:rPr>
        <w:t>E. 10.4</w:t>
      </w:r>
    </w:p>
    <w:p>
      <w:r>
        <w:t>En cas de refus ou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w:t>
      </w:r>
    </w:p>
    <w:p>
      <w:r>
        <w:rPr>
          <w:b/>
        </w:rPr>
        <w:t>E. 11</w:t>
      </w:r>
    </w:p>
    <w:p>
      <w:r>
        <w:t>Appréciation d'avis médicaux du dossier</w:t>
      </w:r>
    </w:p>
    <w:p>
      <w:r>
        <w:t>A/3919/2023 - 27/27 -</w:t>
      </w:r>
    </w:p>
    <w:p>
      <w:r>
        <w:rPr>
          <w:b/>
        </w:rPr>
        <w:t>E. 11.1</w:t>
      </w:r>
    </w:p>
    <w:p>
      <w:r>
        <w:t>Êtes-vous d'accord avec les appréciations du Dr C______ ? En particulier avec les diagnostics posés, les limitations fonctionnelles constatées et l'estimation d'une capacité de travail de 0%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H. Invite l’expert à faire une appréciation consensuelle du cas avec le Dr L______ s’agissant de toutes les problématiques ayant des interférences entre elles, notamment l’appréciation de la capacité de travail résiduelle. I. Invite l’expert à déposer, dans les meilleurs délais, un rapport en trois exemplaires auprès de la chambre de céans. II. Réserve le fond ainsi que le sort des frais jusqu’à droit jugé au fond.</w:t>
      </w:r>
    </w:p>
    <w:p>
      <w:r>
        <w:t>La greffière</w:t>
      </w:r>
    </w:p>
    <w:p>
      <w:r>
        <w:t>Nathalie KOMAISKI</w:t>
      </w:r>
    </w:p>
    <w:p>
      <w:r>
        <w:t>La présidente</w:t>
      </w:r>
    </w:p>
    <w:p>
      <w:r>
        <w:t>Joanna JODRY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