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ATAS/731/2018 vom 23. August 2018</w:t>
      </w:r>
    </w:p>
    <w:p>
      <w:r>
        <w:t>GE Cour de justice, 2018-08-23, FR</w:t>
      </w:r>
    </w:p>
    <w:p>
      <w:r>
        <w:rPr>
          <w:b/>
        </w:rPr>
        <w:t xml:space="preserve">Quelle: </w:t>
      </w:r>
      <w:r>
        <w:t>https://mcp.opencaselaw.ch/entscheid/ge_gerichte_ATAS_731_2018</w:t>
      </w:r>
    </w:p>
    <w:p>
      <w:r>
        <w:t>FR: GE_GERICHTE ATAS/731/2018 du 23 août 2018</w:t>
      </w:r>
    </w:p>
    <w:p>
      <w:r>
        <w:t>IT: GE_GERICHTE ATAS/731/2018 del 23 agosto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A/591/2018 - 6/10 -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a le droit d’exiger la restitution CHF 18'820.- à titre de prestations complémentaires fédérales et cantonales indûment perçues durant la période courant de février 2013 à juillet 2017. L'objet du litige est également le montant des prestations complémentaires dues dès le 1er août 2017. Se pose notamment la question de savoir si la recourante a partagé son logement dès février 2013 avec le témoin.</w:t>
      </w:r>
    </w:p>
    <w:p>
      <w:r>
        <w:rPr>
          <w:b/>
        </w:rPr>
        <w:t>E. 4</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En vertu de l'art. 9 al. 1 LPC, le montant de la prestation complémentaire annuelle correspond à la part des dépenses reconnues qui excède les revenus déterminants. b.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w:t>
      </w:r>
    </w:p>
    <w:p>
      <w:r>
        <w:t>A/591/2018 - 7/10 -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la question de savoir s'il y a un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à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w:t>
      </w:r>
    </w:p>
    <w:p>
      <w:r>
        <w:t>A/591/2018 - 8/10 - enfants sans droit à la rente seraient désavantagés non seulement par rapport aux assurés sans enfants, mais en règle générale également envers les assurés dont les enfants auraient droit à une rente (arrêt du Tribunal fédéral des assurances P.56/00 du 5 juillet 2001 in Pratique VSI 5/2001, p. 237).</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il convient en premier lieu de relever que la recourante habite dans un appartement de seulement deux pièces, comprenant une cuisine et un salon. Ainsi, même en entretenant des relations de nature intime avec une personne, il paraît a priori difficile de partager durablement un tel appartement à deux. Par ailleurs, contrairement à ce que l’intimé affirme, les déclarations de la recourante et du témoin sont concordantes, même si cette dernière a omis de préciser que leur relation avait été plus qu'une simple amitié. Les deux ont en effet déclaré s’être connus chez des amis et n'avoir jamais vécu dans l’appartement de la recourante. Lorsque le témoin venait à Genève, il n'a pas dormi chez elle. Il séjournait soit en Allemagne ou des amis en France. Le témoin a aussi déclaré qu'il menait depuis dix ans une vie de nomade sans véritable domicile, ce qui correspond aux déclarations de la recourante, selon lesquelles il était journaliste indépendant et souvent en déplacement. En tout état de cause, le fait d'accueillir occasionnellement pour de courtes durées un ami à son domicile, ne permettrait pas de considérer que celui-ci y réside durablement. À cet égard, il est sans importance de savoir si la recourante était au courant ou non du fait que le témoin s’était annoncé à l’OCPM comme étant domicilié chez elle. En effet, même si elle le savait, elle aurait pu l’accepter pour rendre service à un ami, alors que cela ne correspondait pas à la réalité. En tout état de cause, elle a indiqué dans son recours qu'elle l'ignorait, ce qui est conforme aux déclarations du témoin. Certes, le témoin avait pris la ligne de téléphone à son nom. Il a indiqué que le paiement des frais de téléphone constituait une contrepartie du service que la recourante lui rendait en lui permettant de mettre son nom sur la boîte aux lettres, ce que la recourante a confirmé. Le témoin a en outre expliqué qu'en étant titulaire de la ligne de téléphone, il pouvait déduire ces frais de ses impôts, explication qui paraît plausible et cohérente.</w:t>
      </w:r>
    </w:p>
    <w:p>
      <w:r>
        <w:t>A/591/2018 - 9/10 - Selon le témoin, la relation intime avec la recourante est terminée aujourd'hui. Il est vrai que l'on ignore depuis quelle date. Toutefois, il convient de relever que le témoin s’était domicilié officiellement en avril 2008 déjà chez la recourante, si bien qu’il est à supposer au degré de la vraisemblance prépondérante que leur relation était déjà terminée en février 2013. En effet, si la recourante attendait plus de cette relation, notamment le mariage, elle a dû comprendre assez rapidement que telles n’étaient pas les intentions du témoin. Or, en l'absence d'une relation étroite entre ce dernier et la recourante, il ne paraît pas vraisemblable que le témoin ait résidé chez la recourante, au vu de l'étroitesse du logement. Quant à l'affirmation du témoin d'avoir organisé toute sa vie à Genève, elle n’est pas incompatible avec le fait de n’avoir qu’une adresse à Genève et de vivre essentiellement chez ses parents en Allemagne ou chez des amis dans la région, le recourant ayant déclaré qu’il n’avait pas de véritable domicile et qu’il menait une vie de nomade. Il avait néanmoins de bonnes raisons de garder une adresse à Genève, ayant vécu dans cette ville jusqu’à son divorce, si bien que ses véhicules y étaient immatriculés, qu’il y était assuré contre le risque de maladie et y payait ses impôts. Il voulait également garder son permis C pour avoir des clients en Suisse et faciliter sa vie professionnelle de manière générale. Dans ces circonstances, rien ne justifiait que le témoin se domicilie ailleurs qu'à Genève, notamment en Allemagne, dès lors qu'il semble être continuellement en déplacement. Au demeurant, dans le canton de Genève, il arrive fréquemment que des personnes y gardent officiellement une adresse, tout en habitant en France par exemple. Alors même qu'elles sont domiciliées à Genève, selon les indications ressortant de la base de données de l’OCPM, cela n'empêche pas les autorités de s'en écarter, s'il s'avère qu'elles résident en réalité à l'étranger. Au vu de ces éléments et notamment des déclarations du témoin qui a clairement confirmé qu'il n'avait pas fait ménage commun avec la recourante, il convient d’admettre que celle-ci n’a pas partagé son appartement avec un tiers. Partant, la demande de restitution de l’intimé est infondée et il n'y a pas lieu de tenir compte d'un loyer partiel dans le calcul des prestations dès le 1er août 2017.</w:t>
      </w:r>
    </w:p>
    <w:p>
      <w:r>
        <w:rPr>
          <w:b/>
        </w:rPr>
        <w:t>E. 7</w:t>
      </w:r>
    </w:p>
    <w:p>
      <w:r>
        <w:t>Au vu de ce qui précède, le recours sera admis et la décision annulée. La cause sera par ailleurs renvoyée à l'intimé pour déterminer le droit aux prestations dès le 1er août 2017, en incluant dans son calcul le loyer intégral de la recourante.</w:t>
      </w:r>
    </w:p>
    <w:p>
      <w:r>
        <w:rPr>
          <w:b/>
        </w:rPr>
        <w:t>E. 8</w:t>
      </w:r>
    </w:p>
    <w:p>
      <w:r>
        <w:t>La recourante obtenant gain de cause, une indemnité de CHF 2'000.- lui est octroyée à titre de dépens.</w:t>
      </w:r>
    </w:p>
    <w:p>
      <w:r>
        <w:rPr>
          <w:b/>
        </w:rPr>
        <w:t>E. 9</w:t>
      </w:r>
    </w:p>
    <w:p>
      <w:r>
        <w:t>La procédure est gratuite.</w:t>
      </w:r>
    </w:p>
    <w:p>
      <w:r>
        <w:t>***</w:t>
      </w:r>
    </w:p>
    <w:p>
      <w:r>
        <w:t>A/591/2018 - 10/10 -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