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ATAS/730/2020 vom 2. September 2020</w:t>
      </w:r>
    </w:p>
    <w:p>
      <w:r>
        <w:t>GE Cour de justice, 2020-09-02, FR</w:t>
      </w:r>
    </w:p>
    <w:p>
      <w:r>
        <w:rPr>
          <w:b/>
        </w:rPr>
        <w:t xml:space="preserve">Quelle: </w:t>
      </w:r>
      <w:r>
        <w:t>https://mcp.opencaselaw.ch/entscheid/ge_gerichte_ATAS_730_2020</w:t>
      </w:r>
    </w:p>
    <w:p>
      <w:r>
        <w:t>FR: GE_GERICHTE ATAS/730/2020 du 2 septembre 2020</w:t>
      </w:r>
    </w:p>
    <w:p>
      <w:r>
        <w:t>IT: GE_GERICHTE ATAS/730/2020 del 2 settembre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interjeté en temps utile (art. 60 al. 1 LPGA) est recevable à la forme.</w:t>
      </w:r>
    </w:p>
    <w:p>
      <w:r>
        <w:rPr>
          <w:b/>
        </w:rPr>
        <w:t>E. 3</w:t>
      </w:r>
    </w:p>
    <w:p>
      <w:r>
        <w:t>Le litige porte sur la question de savoir si c'est à juste titre que l'intimé a déclaré l'opposition formée par le recourant irrecevable, car tardive.</w:t>
      </w:r>
    </w:p>
    <w:p>
      <w:r>
        <w:rPr>
          <w:b/>
        </w:rPr>
        <w:t>E. 4</w:t>
      </w:r>
    </w:p>
    <w:p>
      <w:r>
        <w:t>a. Selon l'art. 52 al. 1 LPGA, les décisions peuvent être attaquées dans les trente jours par voie d'opposition auprès de l'assureur qui les a rendues.</w:t>
      </w:r>
    </w:p>
    <w:p>
      <w:r>
        <w:t>A/1901/2020 - 4/6 -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b. En l’espèce, la décision du 30 mars 2020 a été transmise le jour même par courriel à l’employeur. Le délai de recours a commencé à courir le lendemain, soit le 31 mars, et il a été suspendu du 5 au 19 avril, soit du 7ème jour avant Pâques (le 12 avril 2020) au 7ème jour après Pâques inclusivement. Le délai de recours s’est ainsi terminé le 14 mai 2020. Force est dès lors de constater que les oppositions</w:t>
      </w:r>
    </w:p>
    <w:p>
      <w:r>
        <w:t>A/1901/2020 - 5/6 - formées le 25 mai 2020 à la caisse et le 13 juin 2020 à l’OCE sont toutes deux tardives. Les courriels adressés le 31 mars 2020 à l’OCE par la sœur de la responsable ne peuvent être considérés comme des oppositions, dès qu’il s’agissait d’une demande d’information et non une contestation formelle de la décision du 30 mars. Il en résulte que c’est à juste titre que l’intimé a constaté que l’opposition a été formée tardivement.</w:t>
      </w:r>
    </w:p>
    <w:p>
      <w:r>
        <w:rPr>
          <w:b/>
        </w:rPr>
        <w:t>E. 5</w:t>
      </w:r>
    </w:p>
    <w:p>
      <w:r>
        <w:t>a. 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ATF 119 II 87 consid. 2a; ATF 112 V 256 consid. 2a). b. En l'espèce, une restitution du délai de recours au sens de l'art. 41 al. 1 LPGA ne se justifie pas. Certes la responsable de l’entreprise était manifestement dans l’incapacité d’agir en temps utile sans faute de sa part, selon le certificat médical produit, mais elle a été représentée par sa sœur. Selon l’art. 37 al. 1 LPGA, une partie peut, en tout temps, se faire représenter, à moins qu’elle ne doive agir personnellement, ou se faire assister, pour autant que l’urgence d’une enquête ne l’exclue pas. Il n’est ici question que de représentation volontaire. Le rapport de représentation résulte d’un acte juridique liant le représenté au représentant et relevant du droit privé. Il s’agit le plus souvent d’un contrat de mandat. Si l’assuré fait le choix d’être représenté, il n’est pas obligé de mandater un avocat. Contrairement à ce qui prévaut devant les autorités judiciaires, représentation devant l’assureur social pour la procédure administrative non contentieuse ne requiert pas de qualification particulière (Commentaire romand de la loi sur la partie générale des assurances sociales éd. par Anne-Sylvie DUPONT/Margit MOSER-SZELESS, 2018, n. 16 et 18 ad art. 37). En l’occurrence, la sœur de la responsable a valablement représenté cette dernière, soit l’employeur, pour préserver les intérêts de sa sœur. Elle n’a pas fait valoir de cause de restitution en ce qui la concernait, mais seulement pour sa sœur. Elle apparaît qu’elle était capable de former opposition à la décision en cause en temps utile, ce qui est démontré par le fait qu’elle a déposé la demande de RHT le 30 mars 2020 et qu’elle a adressé le lendemain des courriels à l’OCE. En conséquence, l’employeur ne peut se voir octroyer la restitution du délai d’opposition. En l'absence de motif valable de restitution de délai, c'est à juste titre que l'intimé a déclaré irrecevable l’opposition formée contre la décision du 30 mars 2020. Le recours doit donc être rejeté.</w:t>
      </w:r>
    </w:p>
    <w:p>
      <w:r>
        <w:rPr>
          <w:b/>
        </w:rPr>
        <w:t>E. 6</w:t>
      </w:r>
    </w:p>
    <w:p>
      <w:r>
        <w:t>La procédure est gratuite.</w:t>
      </w:r>
    </w:p>
    <w:p>
      <w:r>
        <w:t>A/1901/2020 - 6/6 -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