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ATAS/730/2012 vom 30. Mai 2012</w:t>
      </w:r>
    </w:p>
    <w:p>
      <w:r>
        <w:t>GE Cour de justice, 2012-05-30, FR</w:t>
      </w:r>
    </w:p>
    <w:p>
      <w:r>
        <w:rPr>
          <w:b/>
        </w:rPr>
        <w:t xml:space="preserve">Quelle: </w:t>
      </w:r>
      <w:r>
        <w:t>https://mcp.opencaselaw.ch/entscheid/ge_gerichte_ATAS_730_2012</w:t>
      </w:r>
    </w:p>
    <w:p>
      <w:r>
        <w:t>FR: GE_GERICHTE ATAS/730/2012 du 30 mai 2012</w:t>
      </w:r>
    </w:p>
    <w:p>
      <w:r>
        <w:t>IT: GE_GERICHTE ATAS/730/2012 del 30 maggio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A/2816/2011 - 14/22 - Sa compétence pour juger du cas d’espèce est ainsi établie.</w:t>
      </w:r>
    </w:p>
    <w:p>
      <w:r>
        <w:rPr>
          <w:b/>
        </w:rPr>
        <w:t>E. 2</w:t>
      </w:r>
    </w:p>
    <w:p>
      <w:r>
        <w:t>Sur le plan matériel, la LAI a subi plusieurs modifications entrées en vigueur le 1er janvier 2012 (révision 6a), introduisant notamment une contribution d’assistance pour les bénéficiaires d’une allocation pour impotent (art. 42quater ss LAI). Cependant, la décision querellée a été rendue le 15 juillet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S'agissant de la procédure, la LPGA est applicable.</w:t>
      </w:r>
    </w:p>
    <w:p>
      <w:r>
        <w:rPr>
          <w:b/>
        </w:rPr>
        <w:t>E. 3</w:t>
      </w:r>
    </w:p>
    <w:p>
      <w:r>
        <w:t>Interjeté dans les forme et délai prévus par la loi (art. 56 ss LPGA), le recours est recevable.</w:t>
      </w:r>
    </w:p>
    <w:p>
      <w:r>
        <w:rPr>
          <w:b/>
        </w:rPr>
        <w:t>E. 4</w:t>
      </w:r>
    </w:p>
    <w:p>
      <w:r>
        <w:t>La Cour de céans relève que l’arrêt du 14 août 2009 a annulé la décision de suppression de l’allocation pour impotent du 1er octobre 2008, qui était assortie d’un retrait de l’effet suspensif, et renvoyé la cause à l’intimé pour instruction complémentaire et nouvelle décision.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(ATF 129 V 370, consid. 4.1 à 4.4). Le Tribunal fédéral a récemment confirmé cette jurisprudence (ATF 8C_451/2010 du 11 novembre 2010, consid. 2 à 4). L’état de fait devant être examiné dans le cadre d'un renvoi pour instruction s'étend jusqu'à la notification de la nouvelle décision (ATF non publié 9C_149/2009 du 14 juillet 2009, consid. 4.4 ; ATF non publié 9C_235/2009 du 30 avril 2009, consid. 3.3). Le renvoi pour instruction complémentaire ne signifie pas nécessairement que les constatations originelles étaient fausses mais seulement que celles-ci ne pouvaient être confirmées sur la base des documents disponibles. Les nouvelles observations peuvent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Si les résultats de l'instruction complémentaire infirment au moins partiellement le contenu de la décision originelle (par exemple quant à la date de l'amélioration de la capacité de travail justifiant la modification du droit survenue postérieurement à</w:t>
      </w:r>
    </w:p>
    <w:p>
      <w:r>
        <w:t>A/2816/2011 - 15/22 -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(ATF 9C_288/2010 du 22 décembre 2010, consid. 4.2). Par conséquent, l'objet du litige porte sur le point de savoir si c’est à bon droit que l’intimé a supprimé l’allocation pour impotent durant la période du 1er décembre 2008 au 30 juin 2010.</w:t>
      </w:r>
    </w:p>
    <w:p>
      <w:r>
        <w:rPr>
          <w:b/>
        </w:rPr>
        <w:t>E. 5</w:t>
      </w:r>
    </w:p>
    <w:p>
      <w:r>
        <w:t>Selon l'art. 17 al. 2 LPGA,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(ATF 130 V 343 consid. 3.5.3). En matière d'assurance-invalidité, le règlement du 17 janvier 1961 sur l'assurance- invalidité (RAI; RS 831.201) connaît une réglementation spécifique quant aux effets temporels de la modification du droit aux prestations (art. 88bis RAI). Selon l'alinéa second de cette disposition, la diminution ou la suppression de la rente ou de l'allocation pour impotent prend effet, au plus tôt, le premier jour du deuxième mois qui suit la notification de la décision. Tout changement important des circonstances propre à influencer le degré d'invalidité, et donc le droit à la prestation, peut motiver une révision selon l'art. 17 LPGA. Le point de savoir si un tel changement s'est produit doit être tranché en comparant les faits tels qu'ils se présentaient au moment de dernière décision entrée en force qui repose sur un examen matériel du droit à la prestation avec une constatation des faits pertinents et une appréciation des preuves conformes au droit et les circonstances régnant à l'époque de la décision litigieuse (ATF 133 V 108 consid. 5, ATF 130 V 351 consid. 3.5.2). On ajoutera également qu'un motif de révision au sens de l'art. 17 LPGA doit clairement ressortir du dossier La réglementation sur la révision ne saurait en effet constituer un fondement juridique à un réexamen sans condition du droit à la prestation (ATFA non publié I 406/05 du 13 juillet 2006, consid. 4.1 et les références).</w:t>
      </w:r>
    </w:p>
    <w:p>
      <w:r>
        <w:rPr>
          <w:b/>
        </w:rPr>
        <w:t>E. 6</w:t>
      </w:r>
    </w:p>
    <w:p>
      <w:r>
        <w:t>Aux termes de l’art. 9 LPGA, est réputée impotente toute personne qui, en raison d’une atteinte à sa santé, a besoin de façon permanente de l’aide d’autrui ou d’une</w:t>
      </w:r>
    </w:p>
    <w:p>
      <w:r>
        <w:t>A/2816/2011 - 16/22 -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7</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w:t>
      </w:r>
    </w:p>
    <w:p>
      <w:r>
        <w:t>A/2816/2011 - 17/22 - manger seul ne soit pas en mesure de couper ses aliments ou ne peut les porter à la bouche qu'avec ses doigts (ATF 106 V 153 consid. 2b). Quant à la notion de soins ou de surveillance, elle est interprétée de manière restrictive par la jurisprudence. Ainsi, les soins et la surveillance prévues à l’art. 37 RAI ne se rapportent pas aux actes ordinaires de la vie ; il s’agit bien plutôt d’une sorte d’aide médicale ou sanitaire qui est nécessitée par l’état physique ou psychique de l’assuré (ATFA non publié I 43/02 du 30 septembre 2002, consid. 3).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sur l'invalidité et l'impotence dans l'assurance-invalidité de l'OFFICE FEDERAL DES ASSURANCES SOCIALES [CIIAI] précise que l’accompagnement est régulier lorsqu’il est nécessité en moyenne au moins deux heures par semaine sur une période de trois mois (ch. 8053). Le Tribunal fédéral a admis la conformité de cette circulaire à la loi et précisé que l’accompagnement s’étend aux travaux ménagers (cuisine, courses, lessive et ménage) dans la mesure où ceux-ci ne font pas partie des actes ordinaires et que l’aide directe nécessaire à effectuer ces tâches peut également être prise en compte (ATF 133 V 450 consid. 6.2 et 10). Ces travaux représentent selon l'expérience générale de la vie un investissement temporel de plus de deux heures par semaine, de sorte que le caractère régulier de l'aide nécessitée est également réalisé (ATF non publié 9C_1056/2009 du 10 mai 2010, consid. 4.3).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w:t>
      </w:r>
    </w:p>
    <w:p>
      <w:r>
        <w:t>A/2816/2011 - 18/22 - droit à une allocation au sens de l'art. 38 RAI (ATF non publié 9C_1056/2009 du</w:t>
      </w:r>
    </w:p>
    <w:p>
      <w:r>
        <w:rPr>
          <w:b/>
        </w:rPr>
        <w:t>E. 10</w:t>
      </w:r>
    </w:p>
    <w:p>
      <w:r>
        <w:t>Eu égard à ce qui précède, le recours est admis. La recourante, qui obtient gain de cause, a droit à une indemnité à titre de participation à ses dépens, qu'il convient de fixer à 1'000 fr. La procédure n'étant pas gratuite, l'intimé supporte l'émolument de 1'000 fr. (art. 69 al. 1bis LAI).</w:t>
      </w:r>
    </w:p>
    <w:p>
      <w:r>
        <w:t>A/2816/2011 - 22/22 -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