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ATAS/730/2011 vom 16. August 2011</w:t>
      </w:r>
    </w:p>
    <w:p>
      <w:r>
        <w:t>GE Cour de justice, 2011-08-16, FR</w:t>
      </w:r>
    </w:p>
    <w:p>
      <w:r>
        <w:rPr>
          <w:b/>
        </w:rPr>
        <w:t xml:space="preserve">Quelle: </w:t>
      </w:r>
      <w:r>
        <w:t>https://mcp.opencaselaw.ch/entscheid/ge_gerichte_ATAS_730_2011</w:t>
      </w:r>
    </w:p>
    <w:p>
      <w:r>
        <w:t>FR: GE_GERICHTE ATAS/730/2011 du 16 août 2011</w:t>
      </w:r>
    </w:p>
    <w:p>
      <w:r>
        <w:t>IT: GE_GERICHTE ATAS/730/2011 del 16 agosto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faits déterminants étant survenus postérieurement au 1er janvier 2003, la LPGA est applicable aux prestations fédérales (cf. ATF 130 V 446 ss consid. 1, 129 V 4 consid. 1.2). Les modifications légales contenues dans la LPGA constituent, en</w:t>
      </w:r>
    </w:p>
    <w:p>
      <w:r>
        <w:t>A/364/2011 - 8/15 -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décisions sur opposition peuvent faire l'objet d'un recours auprès de la Chambre des assurances sociales de la cour de justice dans un délai de 30 jours (art. 56ss LPGA et art. 43 LPCC). Interjeté dans les délai et forme prescrits, le recours est dès lors recevable.</w:t>
      </w:r>
    </w:p>
    <w:p>
      <w:r>
        <w:rPr>
          <w:b/>
        </w:rPr>
        <w:t>E. 4</w:t>
      </w:r>
    </w:p>
    <w:p>
      <w:r>
        <w:t>Le litige porte sur la restitution de prestations à hauteur de 19'567 fr. pour la période du 1er mai 2005 au 30 avril 2010, l'assurée contestant la prise en compte de la valeur d'un immeuble sis en Portugal, des avoirs sur un compte en banque au Portugal et d'un loyer proportionnel. Le recours s'apparente également à une demande de remise.</w:t>
      </w:r>
    </w:p>
    <w:p>
      <w:r>
        <w:rPr>
          <w:b/>
        </w:rPr>
        <w:t>E. 5</w:t>
      </w:r>
    </w:p>
    <w:p>
      <w:r>
        <w:t>a) 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aLPC (art 9 LPC) et art. 2c let. a aLPC). Les revenus déterminants au sens de l’art. 3a al. 1er aLPC comprennent notamment les ressources en espèces ou en nature provenant de l’exercice d’une activité lucrative . Les revenus déterminants comprennent également le produit de la fortune mobilière et immobilière ainsi que les rentes, pensions et autres prestations périodiques, y compris les rentes de l’AVS et de l’AI (art. 3c al. 1er let. b et d aLPC). L'article 3c al. 1 let. c aLPC (11 al. 1 let. c LPC) stipule qu'est pris en compte un dixième de la fortune nette pour les rentiers AVS, après déduction de 25'000 pour une personne seule. Enfin, sont comprises dans les revenus déterminants les ressources et parts de fortune dont un ayant droit s’est dessaisi (art. 3c al. 1er let. g LPC).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b) Selon l'art. 12 al. 1 de l'ordonnance du 15 janvier 1971 sur les prestations complémentaires à l'AVS et à l'AI (OPC-AVS/AI; RS 831.301), la valeur locative du logement occupé par le propriétaire ou l'usufruitier ainsi que le revenu provenant</w:t>
      </w:r>
    </w:p>
    <w:p>
      <w:r>
        <w:t>A/364/2011 - 9/15 -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c)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Par loyer au sens de cette disposition, il faut entendre le loyer brut, comprenant l'acompte mensuel pour les frais accessoires (art. 3b al. 1 let. b LPC).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De même, on répartira entre eux le forfait annuel de 1680 fr. déductible à titre de frais accessoires par les personnes habitant leur propre immeuble (art. 16a al. 3 OPC-AVS/AI).</w:t>
      </w:r>
    </w:p>
    <w:p>
      <w:r>
        <w:t>A/364/2011 - 10/15 - Toutefois, si un contrat de bail a été conclu entre le propriétaire de l'immeuble et l'assuré, et si le loyer brut convenu est effectivement payé, ce loyer est déterminant pour le calcul de la prestation complémentaire annuelle, à moins qu'il n'apparaisse comme majoré de façon manifestement abusive (ATFA non publié du 1er juin 2001, P 62/00, consid. 3a; cf. également Pra 1996 p. 972 consid. 3). d)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w:t>
      </w:r>
    </w:p>
    <w:p>
      <w:r>
        <w:rPr>
          <w:b/>
        </w:rPr>
        <w:t>E. 6</w:t>
      </w:r>
    </w:p>
    <w:p>
      <w:r>
        <w:t>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w:t>
      </w:r>
    </w:p>
    <w:p>
      <w:r>
        <w:t>A/364/2011 - 11/15 -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7</w:t>
      </w:r>
    </w:p>
    <w:p>
      <w:r>
        <w:t>a) La loi genevoise du 12 septembre 1985 sur la procédure administrative (LPA) s’applique à la prise de décision par le Tribunal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t>A/364/2011 - 12/15 -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Dans le cas d'espèce, l'assurée a renoncé à juste titre à contester la prise en compte de toutes ses rentes LPP, qui font manifestement partie de ses ressources et qui n'ont pas toutes été annoncées au SPC, contrairement à ce que l'assurée affirmait. En particulier, la rente de 3'406 fr./an versées par la ZURICH en tout cas dès le 1er janvier 2005 n'a jamais été communiquée au SPC, bien qu'il soit exact que l'assurée l'a déclarée au fisc. La rente de 12 Euros 50/mois reçue de la sécurité sociale du Portugal n'est versée que depuis février 2010. Elle peut donc être intégrée aux calculs dès cette date seulement. En deuxième lieu, les témoignages recueillis, au vu de leur concordance, ont permis d'établir avec certitude que l'assurée ne vit plus avec son fils LB__________ depuis l'année 2002, de sorte qu'il ne se justifie pas de tenir compte d'une partie seulement du loyer dans le plan de calcul pour la période considérée du 1er mai 2005 au 30 avril 2010, ni au delà. Ce premier grief est bien fondé et la décision sera annulée sur ce point. Il ne se justifie pas, comme le conclut le SPC, de renoncer à la prise en compte d'un loyer proportionnel pour l'avenir seulement. En effet, l'instruction de la cause a démontré que la révision sur cinq ans des décisions d'octroi n'est pas fondée sur ce point, ce qui justifie son annulation. En troisième lieu, la prise en compte de la valeur de la maison au Portugal est conforme à la loi et fondée sur la valeur retenue par l'ingénieur civil mandaté par l'assurée, soit 4'000 €. A cet égard, l'assurée ne rend pas vraisemblable que ses</w:t>
      </w:r>
    </w:p>
    <w:p>
      <w:r>
        <w:rPr>
          <w:b/>
        </w:rPr>
        <w:t>E. 11</w:t>
      </w:r>
    </w:p>
    <w:p>
      <w:r>
        <w:t>enfants seraient également copropriétaires en leur qualité d'héritiers, alors qu'elle apparaît comme seule propriétaire de l'immeuble en question selon l'extrait du registre foncier, datant de 2007 et que son époux est décédé en 1994 déjà. On ne</w:t>
      </w:r>
    </w:p>
    <w:p>
      <w:r>
        <w:t>A/364/2011 - 13/15 - comprendrait pas pourquoi les enfants de l'assurée ne seraient pas inscrits au registre foncier, ni pourquoi ils devraient prêter de l'argent à leur mère pour rénover un immeuble dont ils sont eux-mêmes propriétaires. A défaut de production d'un testament de feu son mari ou de toutes pièces probantes permettant de renverser la présomption légale de l'exactitude des inscriptions au registre foncier, il faut admettre que l'assurée est seule propriétaire de ce bien immobilier. Ce grief est donc mal fondé et la décision est confirmée sur ce point. Par contre, au vu de l'état de délabrement de l'immeuble, qui ressort clairement de l'expertise effectuée par l'ingénieur civil et qui explique en particulier la très faible valeur vénale du bien, il ne se justifie pas de retenir un quelconque rendement pour cette maison. En effet, si le taux de 4,5% est en général admissible, encore faut-il qu'il corresponde à un rendement possible, ce qui n'est pas le cas d'une maison totalement inhabitable et donc impossible à louer, même pour un loyer aussi faible que celui retenu (environ 270 à 300 fr./an). Ce grief est donc fondé et la décision est annulée sur ce point. En quatrième lieu, le compte en banque ouvert au Portugal en décembre 1995 par feu le mari de l'assurée, vraisemblablement en lien avec l'achat de la maison en 1993, n'a connu aucun mouvement de 2004 à 2006 selon l'attestation de la banque MILLENIUM. Cela ne démontre toutefois pas en soi que ce compte ait été vide, car l'absence de mouvements signifie seulement qu'il n'y a eu ni retraits, ni versements durant cette période, mais ne donne aucune indication du solde du compte. On peut toutefois admettre, au degré de la vraisemblance prépondérante, que la somme de 11'326 € a été versée sur ce compte dans le courant de l'année 2007 seulement, dès lors que la banque atteste qu'elle n'émet pas de décompte s'il n'y a pas de mouvement et qu'elle a émis un extrait au 31 décembre 2007. Le montant de 415 € 37 correspond vraisemblablement au solde initial (378 € 78) ajouté aux intérêts courus en 2007 (36 € 59). Après comptabilisation des intérêts courus en 2008, puis en 2009 (25 € 78) le solde au 31 décembre 2009 est de 351 € 92 et de 11'750 € 54 de titres. Ces décomptes ne permettent pas de déterminer si la somme de 11'326 € a été versée en une ou plusieurs fois, par l'assurée elle-même ou par des tiers, par un versement au guichet ou par un virement postal. D'une part, l'assurée n'a pas produit les extraits des comptes de ses enfants permettant d'établir que ceux-ci ont effectivement retiré chacun l'équivalent en francs suisse de 3'000 € juste avant l'été 2007, ni une quelconque pièce démontrant le transfert de ces sommes via la poste. Au demeurant, on comprend mal pourquoi ces sommes auraient été versées avant de s'assurer de la participation des autres enfants au projet de rénovation et on peine à croire que ce n'est qu'en été 2011, soit seulement après la fin de la présente procédure, que ces sommes devraient être remboursées aux enfants, soit après quatre ans de négociation avec les frères et sœurs et ceci sans prendre la précaution de faire signer à l'assurée une reconnaissance de dette. D'autre part, l'assurée a</w:t>
      </w:r>
    </w:p>
    <w:p>
      <w:r>
        <w:t>A/364/2011 - 14/15 - refusé de produire les extraits du compte auprès de MILLENIUM demandés par la Cour de céans, qui avaient précisément pour vocation d'élucider la provenance des fonds, de vérifier la véracité des allégations de l'assurée au sujet des modalités des versements effectués et de savoir si des versements supplémentaires ou des retraits avaient été effectués postérieurement à avril 2010, afin de déterminer si les autres enfants se sont décidés à participer à la rénovation ou si l'assurée a remboursé les sommes versées par certains de ses enfants. La production de toutes ces pièces devait également permettre de déterminer quelle est précisément la part de 11'326 € appartenant à l'assurée. En refusant de collaborer à l'instruction de la cause, alors que toute banque est en mesure d'établir rapidement à la demande du titulaire du compte les extraits demandés, l'assurée doit supporter les conséquences de l'absence de preuve. Il faut donc retenir que le capital existant sur le compte dont l'assurée est seule titulaire lui appartient. Ainsi, c'est à juste titre que le SPC a retenu une fortune mobilière en francs suisses, équivalente à l'intégralité du solde au 31 décembre 2007, 2008 et 2009 dans les plans de prestation dès le 1er janvier 2008, le taux de change pratiqué n'étant pas contesté. 9. Ainsi, le recours est partiellement admis, la décision du 6 janvier 2011 est annulée en tant qu'elle tient compte, dès le 1er mai 2005, d'un revenu de la fortune immobilière et d'un loyer proportionnel, et elle est confirmée pour le surplus. La cause est renvoyée au SPC pour calcul des prestations dès le 1er mai 2005 et le calcul du montant à restituer sur la base de ce qui précède. La demande de remise devra faire l'objet d'une décision distincte, après que la décision de restitution revue à la baisse soit définitive.</w:t>
      </w:r>
    </w:p>
    <w:p>
      <w:r>
        <w:t>A/364/2011 - 15/15 -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