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ATAS/730/2010 vom 1. Juli 2010</w:t>
      </w:r>
    </w:p>
    <w:p>
      <w:r>
        <w:t>GE Cour de justice, 2010-07-01, FR</w:t>
      </w:r>
    </w:p>
    <w:p>
      <w:r>
        <w:rPr>
          <w:b/>
        </w:rPr>
        <w:t xml:space="preserve">Quelle: </w:t>
      </w:r>
      <w:r>
        <w:t>https://mcp.opencaselaw.ch/entscheid/ge_gerichte_ATAS_730_2010</w:t>
      </w:r>
    </w:p>
    <w:p>
      <w:r>
        <w:t>FR: GE_GERICHTE ATAS/730/2010 du 1 juillet 2010</w:t>
      </w:r>
    </w:p>
    <w:p>
      <w:r>
        <w:t>IT: GE_GERICHTE ATAS/730/2010 del 1 luglio 2010</w:t>
      </w:r>
    </w:p>
    <w:p>
      <w:pPr>
        <w:pStyle w:val="Heading2"/>
      </w:pPr>
      <w:r>
        <w:t>Erwägungen</w:t>
      </w:r>
    </w:p>
    <w:p>
      <w:r>
        <w:rPr>
          <w:b/>
        </w:rPr>
        <w:t>E. 1</w:t>
      </w:r>
    </w:p>
    <w:p>
      <w:r>
        <w:t>Le Tribunal de céans a déjà examiné les questions de sa compétence et de la recevabilité du recours dans son ordonnance du 6 juin 2007, de sorte qu’il n’y a pas lieu d’y revenir ici.</w:t>
      </w:r>
    </w:p>
    <w:p>
      <w:r>
        <w:rPr>
          <w:b/>
        </w:rPr>
        <w:t>E. 2</w:t>
      </w:r>
    </w:p>
    <w:p>
      <w:r>
        <w:t>Le litige porte sur le degré d’invalidité qui doit être reconnu à la recourante eu égard aux atteintes à sa santé.</w:t>
      </w:r>
    </w:p>
    <w:p>
      <w:r>
        <w:rPr>
          <w:b/>
        </w:rPr>
        <w:t>E. 3</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w:t>
      </w:r>
    </w:p>
    <w:p>
      <w:r>
        <w:t>A/1141/2006 - 19/24 - de travail de l’intéressé dans des activités raisonnablement exigibles (ATF 115 V 133 consid. 2 ; 105 V 158 consid.1).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4</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Sans remettre en cause le principe de la libre appréciation des preuves, le Tribunal fédéral des assurances a posé des lignes directrices en ce qui concerne la manière d'apprécier certains types d'expertises ou de rapports médicaux. (ATF 125 V 352 ss</w:t>
      </w:r>
    </w:p>
    <w:p>
      <w:r>
        <w:t>A/1141/2006 - 20/24 -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50. En l’occurrence, le Tribunal de céans a mandaté le Dr Q___________, spécialiste FMH en médecine interne et rhumatologie. Ce médecin a diagnostiqué des cervico- brachialgies C7 chroniques, sans syndrome déficitaire, sur unco-discarthroses étagées de C4 à C7, avec canal cervical étroit et sténoses des trous de conjugaison prédominant à droite, des lombosciatalgies droites sur spondylarthrose sévère L3- L4 et L5-S1 et hernies discales luxées, des séquelles algodysfonctionnelles des épaules consécutives à une épaule gelée à droite et un conflit sous-acromial à gauche et un syndrome du compartiment antérieur du genou droit. Il a considéré qu’en raison des cervico-brachialgies et des lombosciatalgies, la recourante présentait une capacité de travail de 50% depuis le 11 août 2003 - avec une incapacité de travail totale du 18 mai au 30 août 2005 - dans une activité de secrétariat, en position assise, mais permettant des changements fréquents de positions (toutes les 30 minutes) et respectant les limitations suivantes : pas de port et transport répétitifs de charges supérieures à 3 kg les bras tendus, pas de port et transport occasionnel de charges à plus de 15 kg les bras proches du corps, pas de mouvements répétitifs de flexion du tronc, pas de longs déplacements en terrains inégaux, pas d’utilisation d’escabeau. Ainsi, selon l’expert, une activité au sein de la profession de la recourante, tenant compte de ces limitations, est exigible, d’autant plus que certaines sont déjà incluses dans l’activité habituelle.</w:t>
      </w:r>
    </w:p>
    <w:p>
      <w:r>
        <w:t>A/1141/2006 - 21/24 - Le Tribunal de céans constate que l’expertise du Dr Q___________ repose sur un examen de la recourante, l’étude du dossier médical et des renseignements pris auprès des Drs N___________ et B___________. L’anamnèse est détaillée et les plaintes de la recourante ont été prises en considération. L’expertise est en outre très bien motivée puisqu’elle explique pourquoi l’expert a retenu les diagnostics précités et pourquoi une capacité de travail de 50% dans l’activité habituelle est exigible. Notamment, l’expert expose de façon claire et précise les limitations fonctionnelles qu’impliquent les atteintes dont souffre la recourante et les raisons pour lesquelles l’activité habituelle est, en tenant compte des limitations, adaptée. Ses conclusions sont ainsi dûment motivées. Il y a donc lieu de reconnaître une valeur probante entière à son rapport d’expertise. Il convient encore d’examiner si d’autres spécialistes ont émis des opinions contraires aptes à mettre en doute l’appréciation de l’expert. La recourante fait valoir que l’appréciation du Dr N___________, qui conclut à une incapacité de travail totale dans l’activité habituelle, doit être prise en compte. Il y a lieu de rappeler que s’agissant du rapport d’expertise du Dr N___________ du 26 novembre 2007, complété le 28 janvier 2008, le Tribunal de céans a jugé, dans son ordonnance du 21 octobre 2009, à laquelle il confient de se référer, qu’il ne remplissait pas les critères jurisprudentiels relatifs à la valeur probante d’une expertise judiciaire. Au demeurant, le Dr Q___________ a dûment relevé que le Dr N___________ n’était pas parvenu aux mêmes conclusions, celui-ci étant certainement intervenu au moment où la recourante présentait une poussée douloureuse aux épaules. Le Tribunal de céans est d’avis que l’expertise du Dr Q___________ infirme, de manière convaincante, les conclusions du Dr N___________. On relèvera encore que l’appréciation du Dr Q___________ quant à l’exigibilité de 50% dans l’activité habituelle concorde avec celle du Dr K___________, expert mandaté par l’intimé (rapport du 8 juillet 2005). Enfin, comme constaté dans l’ordonnance d’expertise du 6 juin 2007, les Drs H___________ et C___________ ne se sont pas prononcés sur la capacité de travail résiduelle de la recourante. Quant au Dr B___________, médecin traitant, il a laissé cette question ouverte (rapport du 26 juillet 2004). Il apparaît ainsi qu’il n’existe aucune circonstance bien établie, susceptible d’ébranler sérieusement la crédibilité des conclusions du Dr Q___________.</w:t>
      </w:r>
    </w:p>
    <w:p>
      <w:r>
        <w:t>A/1141/2006 - 22/24 - On conclura donc, suivant ce dernier, que la recourante a disposé à compter du 11 aout 2003, d'une capacité de travail de 50% dans son activité habituelle, étant admis que sa capacité a été nulle du 18 mai au 30 août 2005, puis à nouveau de 50%. Reste encore à examiner le degré d’invalidité que doit se voir reconnaitre la recourante.</w:t>
      </w:r>
    </w:p>
    <w:p>
      <w:r>
        <w:rPr>
          <w:b/>
        </w:rPr>
        <w:t>E. 5</w:t>
      </w:r>
    </w:p>
    <w:p>
      <w:r>
        <w:t>a)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2 LAI dans sa teneur du 1er janvier 2004 au 31 décembre 2007,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29 al. 1er LAI dans sa teneur en vigueur du 1er janvier 1988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b) Selon l'art. 88a al. 1 RAI, dans sa teneur en vigueur depuis le 1er mars 2004,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Selon l’art. 88a al. 2 RAI, si l’incapacité de gain ou la capacité d’accomplir les travaux habituels ou l’impotence ou le besoin de soins découlant de l’invalidité s’aggrave, il y a lieu de considérer que ce changement accroît, le cas échéant, son droit aux prestations dès qu’il a duré trois mois sans interruption notable. L’art. 29bis est toutefois applicable par analogie. En cas d'allocation d'une rente dégressive ou temporaire, la date de la modification du droit (diminution ou suppression de la rente) doit être fixée conformément à l'art. 88a al. 1 RAI (ATF 125 V 417 consid. 2d; RCC 1984 p. 137). L'article 88bis</w:t>
      </w:r>
    </w:p>
    <w:p>
      <w:r>
        <w:t>A/1141/2006 - 23/24 - al. 2 RAI n'est en effet pas applicable dans cette éventualité, du moment que l'on n'est pas en présence d'une révision de la rente au sens strict (VSI 2001 p. 158 consid. 3c; RCC 1983 p. 489 consid. 2b; ATF 106 V 16).</w:t>
      </w:r>
    </w:p>
    <w:p>
      <w:r>
        <w:rPr>
          <w:b/>
        </w:rPr>
        <w:t>E. 6</w:t>
      </w:r>
    </w:p>
    <w:p>
      <w:r>
        <w:t>En l’occurrence, en raison de ses troubles, la recourante présente des limitations physiques importantes qui entraînent une incapacité de travail de 50% dès le 11 août 2003, de 100% du 18 mai au 30 août 2005, puis à 50% dans l’activité habituelle, laquelle est adaptée pour autant qu’elle respecte certaines limitations. Il s’ensuit que le degré d’invalidité de la recourante se confond avec celui de son incapacité de travail. Étant donné que l’incapacité de travail a débuté le 11 août 2003, que l’incapacité de gain s’est aggravée pendant plus de trois mois (du 18 mai au 30 août 2005) et que la capacité de gain s’est améliorée dès le 1er septembre 2005, il y a lieu d’allouer à la recourante une demi-rente du 1er août 2004 au 31 juillet 2005, une rente entière du 1er août au 30 novembre 2005 et une demi-rente dès le 1er décembre 2005.</w:t>
      </w:r>
    </w:p>
    <w:p>
      <w:r>
        <w:rPr>
          <w:b/>
        </w:rPr>
        <w:t>E. 7</w:t>
      </w:r>
    </w:p>
    <w:p>
      <w:r>
        <w:t>Le recours sera par conséquent partiellement admis, les décisions des 22 novembre 2005 et 27 février 2006 seront annulées, la recourante ayant droit à une demi-rente du 1er août 2004 au 31 juillet 2005, une rente entière du 1er août au 30 novembre 2005 et une demi-rente dès le 1er décembre 2005. La recourante obtient partiellement gain de cause de sorte qu’une indemnité de 2'500 fr. lui sera accordée à titre de participation à ses frais et dépens (art. 61 let. g LPGA). Etant donné que depuis le 1er juillet 2006, la procédure n'est plus gratuite (art. 69 al. 1bis LAI), au vu du sort du recours, il y a lieu de condamner l’intimé au paiement d'un émolument de 800 fr.</w:t>
      </w:r>
    </w:p>
    <w:p>
      <w:r>
        <w:t>A/1141/2006 - 24/24 -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