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ATAS/72/2011 vom 25. Januar 2011</w:t>
      </w:r>
    </w:p>
    <w:p>
      <w:r>
        <w:t>GE Cour de justice, 2011-01-25, FR</w:t>
      </w:r>
    </w:p>
    <w:p>
      <w:r>
        <w:rPr>
          <w:b/>
        </w:rPr>
        <w:t xml:space="preserve">Quelle: </w:t>
      </w:r>
      <w:r>
        <w:t>https://mcp.opencaselaw.ch/entscheid/ge_gerichte_ATAS_72_2011</w:t>
      </w:r>
    </w:p>
    <w:p>
      <w:r>
        <w:t>FR: GE_GERICHTE ATAS/72/2011 du 25 janvier 2011</w:t>
      </w:r>
    </w:p>
    <w:p>
      <w:r>
        <w:t>IT: GE_GERICHTE ATAS/72/2011 del 25 gennaio 2011</w:t>
      </w:r>
    </w:p>
    <w:p>
      <w:pPr>
        <w:pStyle w:val="Heading2"/>
      </w:pPr>
      <w:r>
        <w:t>Erwägungen</w:t>
      </w:r>
    </w:p>
    <w:p>
      <w:r>
        <w:rPr>
          <w:b/>
        </w:rPr>
        <w:t>E. 1</w:t>
      </w:r>
    </w:p>
    <w:p>
      <w:r>
        <w:t>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ou devant la juridiction supérieure.</w:t>
      </w:r>
    </w:p>
    <w:p>
      <w:r>
        <w:rPr>
          <w:b/>
        </w:rPr>
        <w:t>E. 3</w:t>
      </w:r>
    </w:p>
    <w:p>
      <w:r>
        <w:t>En l’espèce, la question juridique qui se pose, à savoir si le montant des frais médicaux et primes d’assurance-maladie que l’assuré n’aurait pas dû percevoir peut être déduit de sa fortune, dès lors qu’à défaut de telles prestations, il aurait dû puiser dans celles-ci pour y faire face, a été tranchée par l’affirmative par arrêt du Tribunal cantonal des assurances sociales dans la cause A/4451/2009. L’arrêt précité n’est toutefois pas encore entré en force, puisque la cause susmentionnée fait l’objet d’un recours devant le Tribunal fédéral. Il se justifie donc de suspendre la présente cause jusqu’à droit jugé de façon définitive par le Tribunal fédéral sur cette question.</w:t>
      </w:r>
    </w:p>
    <w:p>
      <w:r>
        <w:t>A/3126/2010 - 5/5 -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