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ATAS/729/2012 vom 30. Mai 2012</w:t>
      </w:r>
    </w:p>
    <w:p>
      <w:r>
        <w:t>GE Cour de justice, 2012-05-30, FR</w:t>
      </w:r>
    </w:p>
    <w:p>
      <w:r>
        <w:rPr>
          <w:b/>
        </w:rPr>
        <w:t xml:space="preserve">Quelle: </w:t>
      </w:r>
      <w:r>
        <w:t>https://mcp.opencaselaw.ch/entscheid/ge_gerichte_ATAS_729_2012</w:t>
      </w:r>
    </w:p>
    <w:p>
      <w:r>
        <w:t>FR: GE_GERICHTE ATAS/729/2012 du 30 mai 2012</w:t>
      </w:r>
    </w:p>
    <w:p>
      <w:r>
        <w:t>IT: GE_GERICHTE ATAS/729/2012 del 30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LPGA relatives à la loi fédérale sur l’assurance- 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10 mai 2011 est postérieure à l'entrée en vigueur de la LPGA ainsi qu'à l'entrée en vigueur respectivement, le 1er janvier 2004 et le 1er janvier 2008, des modifications de la LAI du 21 mars 2003 (4ème révision) et de celles du 6 octobre 2006 (5ème révision). Par conséquent, du point de vue matériel, le droit ou non à une rente d'invalidité ou à des mesures de réadaptation professionnelles doit être examiné au regard des nouvelles normes de la LPGA et des modifications de la LAI consécutives aux 4ème et 5ème révisions de cette loi, dans la mesure de leur pertinence (ATF 130 V 445 et les références, voir également ATF 130 V 329). En revanche, les modifications entrées en vigueur le 1er janvier 2012 (révision 6a) ne peuvent pas être prises en compte car elles sont postérieures à la décision litigieuse. En outre,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décisions sur opposition et celles contre lesquelles la voie de l'opposition n'est pas ouverte sont sujettes à recours dans le délai de 30 jours suivant leur notification (art. 56 al. 1 et 60 al. 1 LPGA). A teneur de l'art. 69 al. 1 let. a LAI, en dérogation aux art. 52 et 58 LPGA, les décisions des offices AI cantonaux peuvent faire</w:t>
      </w:r>
    </w:p>
    <w:p>
      <w:r>
        <w:t>A/1806/2011 - 8/15 - directement l'objet d'un recours devant le tribunal des assurances du canton de l'office qui a rendu la décision. Interjeté dans le délai et la forme prescrits par la loi, le recours est recevable (art. 56 et 60 LPGA).</w:t>
      </w:r>
    </w:p>
    <w:p>
      <w:r>
        <w:rPr>
          <w:b/>
        </w:rPr>
        <w:t>E. 4</w:t>
      </w:r>
    </w:p>
    <w:p>
      <w:r>
        <w:t>L'objet du litige consiste à déterminer si la recourante a droit à des prestations de l'assurance invalidité au-delà du 31 mars 2010.</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Il n’y a incapacité de gain que si celle-ci n’est pas objectivement surmontable (al. 2).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En vertu de l’art. 28 al. 2 LAI, l’assuré a droit à une rente entière s’il est invalide à 70% au moins, à un trois-quarts de rente s'il est invalide à 60% au moins, à une demi-rente s’il est invalide à 50% au moins, ou à un quart de rente s’il est invalide à 40% au moins. 5a.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w:t>
      </w:r>
    </w:p>
    <w:p>
      <w:r>
        <w:t>A/1806/2011 - 9/15 -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A/1806/2011 - 10/15 -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En outre,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7</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w:t>
      </w:r>
    </w:p>
    <w:p>
      <w:r>
        <w:t>A/1806/2011 - 11/15 - (ATF 130 V 349 consid. 3.5, 113 V 275 consid. 1a; voir également ATF 112 V 372 consid. 2b et 390 consid. 1b, ATFA non publié I 520/05 du 28 décembre 2006,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 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et sans qu’une complication prochaine soit à craindre.</w:t>
      </w:r>
    </w:p>
    <w:p>
      <w:r>
        <w:rPr>
          <w:b/>
        </w:rPr>
        <w:t>E. 8</w:t>
      </w:r>
    </w:p>
    <w:p>
      <w:r>
        <w:t>En l'espèce, la recourante conteste la suppression de la rente au 31 mars 2010, motif pris qu'il n'y a pas eu d'amélioration de son état de santé. L'intimé, quant à lui, se fonde sur l'expertise du CEMED de 2009 et les rapports du SMR pour justifier sa décision. La Cour de céans constate que, contrairement à ce qu'affirme l'intimé dans sa réponse, il s'agit bien d'un cas de révision, dès lors qu’il a octroyé à la recourante une rente d'invalidité avec effet rétroactif et, en même temps, l’a supprimée. Par conséquent, les conditions d'une révision de la rente doivent être remplies : il faut en particulier que le taux d'invalidité de l'assurée ait subi une modification notable entre le moment de l'attribution et le moment de la suppression.</w:t>
      </w:r>
    </w:p>
    <w:p>
      <w:r>
        <w:rPr>
          <w:b/>
        </w:rPr>
        <w:t>E. 9</w:t>
      </w:r>
    </w:p>
    <w:p>
      <w:r>
        <w:t>La recourante présente diverses atteintes à la santé qui ont fait l’objet d’investigations médicales et, notamment, d’une expertise pluridisciplinaire par le CEMED. L’assurée a été examinée en date des 11 août et 18 septembre 2009 par les Drs M___________, rhumatologue FMH, U__________, neurologue FMH et O___________, psychiatre - psychothérapeute FMH. Les experts ont rendu leur rapport en date du 20 octobre 2009. La Cour de céans constate que ce rapport comporte une anamnèse personnelle, familiale et socioprofessionnelle détaillée, une analyse complète du dossier médical, une description du status sur la base des</w:t>
      </w:r>
    </w:p>
    <w:p>
      <w:r>
        <w:t>A/1806/2011 - 12/15 - examens cliniques et du dossier médical et les données subjectives de l’assurée. Des examens paracliniques ont été effectués, notamment un monitoring médicamenteux et un ENMG. Sur le plan ostéoarticulaire, les experts ont retenu que la recourante présente un syndrome douloureux chronique touchant le rachis, sans constatation clinique susceptible de l’expliquer et en présence de nombreux points de fibromyalgie. Ils notent également une dissociation entre les plaintes de l'assurée et les observations cliniques, apparue lors des consultations. Sur le plan neurologique, l’examen clinique et l’ENMG ne révèlent pas de déficit radiculaire, le syndrome lombo-vertébral n’est pas important. Les radiographies standard montrent un matériel d’ostéosynthèse en place avec un listhésis résiduel peu important. Il est peu probable que la patiente puisse reprendre une activité physiquement lourde nécessitant une station debout prolongée et le port de charges de 10 kg ou plus. Au niveau psychique, l'expert n’a pas constaté de troubles justifiant une incapacité de travail et relève que l'assurée se plaint surtout de douleurs physiques, qu’elle est essentiellement fixée sur les douleurs. La dépression décrite n’est pas très intense, l’angoisse n’est pas très envahissante et les symptômes en général sont de faible intensité. Le diagnostic de fibromyalgie appelle celui de trouble somatoforme douloureux, qui n’est pas associé à une comorbidité psychique grave, il n’y a pas de perte de l’intégration sociale, pas de cristallisation de l’état psychique et donc pas d’incapacité de travail à retenir. Dans la synthèse et discussion du cas, les experts considèrent que l’évolution de la situation lombaire paraît suffisamment favorable depuis l’opération du 19 juin 2009 pour autoriser une reprise d’une activité professionnelle, d’abord à temps partiel, puis à temps complet dans une activité adaptée. Ils se fondent sur les observations faites lors des examens des 11 août et 18 septembre 2009. Les experts concluent en définitive à une capacité de travail de 50 % dès le 1er novembre 2009, puis à une capacité de travail de 100 % dès le 1er janvier 2010 dans une activité respectant les limitations fonctionnelles, c’est-à-dire permettant les changements relativement fréquents de position, ne nécessitant pas un engagement physique lourd et le port régulier de charges de 10 kg ou plus. Les médecins traitants de la recourante considèrent en revanche que leur patiente est totalement incapable de travailler depuis août 2009 sur le plan psychiatrique (rapports de la Dresse R__________ des 16 mars 2010 et 12 octobre 2010), et, sur le plansomatique, depuis le 19 septembre 2008 (rapports du Dr L___________ des 20 janvier 2010 et 22 novembre 2010). Il convient de relever que le Dr L___________ a attesté d’une incapacité de travail de 100 % en dans l’activité de femme de ménage, ; il ne s’est toutefois pas prononcé quant à la capacité de travail dans une activité adaptée et n’a pas objectivé d’aggravation de l’état de santé. Le praticien ne fait pas état non plus d’éléments nouveaux qui auraient été ignorés des experts et ses attestations d’incapacité de travail à 100 % ne sont pas détaillées. La psychiatre, qui retient le diagnostic de trouble dépressif récurrent, épisode actuel moyen (F33.1), existant depuis 2006, précise que le trouble de l’humeur est</w:t>
      </w:r>
    </w:p>
    <w:p>
      <w:r>
        <w:t>A/1806/2011 - 13/15 - fortement influencé par la problématique somatique et par la situation socio- familiale et financière. Quant au diagnostic d’anxiété généralisée (F41.1), si la recourante présente une thymie franchement abaissée, une tristesse, une anxiété très importantes, elle parvient à les gérer, quoique avec peine. Finalement, ces constatations rejoignent celles de l’expert psychiatre, selon lesquelles l’anxiété n’est pas très envahissante, les symptômes apparaissant plutôt légers, et la recourante est fixée sur ses douleurs. Par ailleurs, tout comme l’expert psychiatre, la Dresse R__________ n’a pas observé de trouble de l’attention, ni d’éléments de la ligne psychotique. Force est de constater que les rapports médicaux figurant au dossier ne permettent pas de remettre en cause les conclusions claires et motivées de l’expertise du CEMED, qui revêt pleine valeur probante. Pour le surplus, les documents produits ne font pas état de faits nouveaux postérieurement à l’expertise qui justifieraient d’autres investigations médicales, notamment sous forme d’une surexpertise pluridisciplinaire. Par conséquent, la Cour de céans fera siennes les conclusions des experts, selon lesquelles la recourante a recouvré une capacité de travail de 50 %, avec une diminution de rendement de 25 % depuis le 1er novembre 2009 et une capacité totale de travail dans une activité adaptée respectant les limitations fonctionnelles à compter du 1er janvier 2010.</w:t>
      </w:r>
    </w:p>
    <w:p>
      <w:r>
        <w:rPr>
          <w:b/>
        </w:rPr>
        <w:t>E. 10</w:t>
      </w:r>
    </w:p>
    <w:p>
      <w:r>
        <w:t>Reste à déterminer le degré d’invalidité de la recourante.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LAI). Lors de l’ouverture du droit à la rente, in casu 2009 (cf. art. 28 al. 1 LAI), la recourante était en incapacité de travail totale dans toute activité, de sorte que son degré d’invalidité était 100 %, ouvrant droit à une rente entière d’invalidité. L’état de santé s’étant amélioré, il convient de procéder à la comparaison des gains en 2010, moment où la recourante a recouvré une capacité de travail de 100 % dans une activité adaptée. S’agissant du salaire de valide, selon la déclaration de son employeur du 28 juillet 2009, la recourante percevait en 2008 un salaire mensuel de 3'825 fr. par mois, treize fois par an, soit 49'715 fr. En 2009, sans atteinte à la santé, elle aurait perçu un salaire annuel de 51'220 fr. Adapté selon l'indice de l’évolution des salaires nominaux, des pris à la consommation et des salaires réels (indice 2266 en 2009, indice 2284 en 2010, - La Vie économique, 12/2011, tableau B 10.3, p. 95), ce revenu s’élève à 51'627 fr. en 2010.</w:t>
      </w:r>
    </w:p>
    <w:p>
      <w:r>
        <w:t>A/1806/2011 - 14/15 - Pour le revenu avec invalidité, il convient de se baser sur l'enquête suisse sur la structure des salaires 2010 (ESS), dès lors que l'assurée n'a plus travaillé depuis septembre 2008. Le salaire de référence est celui auquel peut prétendre une femme exerçant des activités simples et répétitives, tous secteurs confondus, soit un revenu mensuel de 4'225 fr. (ESS 2010, tableau TA 1, niveau 4). Etant donné que ce montant est valable pour une durée hebdomadaire de travail de 40 heures, il y a lieu de l'adapter à la moyenne de la durée normale du travail dans les entreprises en 2010, soit 41,6 heures (La Vie économique 11-2011, tableau B,9,2), soit 4'394 fr. par mois et 52’728 fr. par année. L'intimé a procédé à une réduction de 15 %, pour tenir compte des limitations fonctionnelles qui obligent l’assurée à n'exercer qu'une activité légère, réduction qui paraît appropriée. Le revenu d’invalide s’élève en définitive à 44’818 fr. Comparé au revenu sans invalidité, le degré d’invalidité est de 15 %, insuffisant pour permettre le maintien de la rente. C’est par conséquent à juste titre que l’intimé a supprimé la rente d’invalidité au 31 mars 2010, en application de l’art. 88a RAI. Pour le surplus, conformément à la jurisprudence, un degré d’invalidité inférieur à 20 % n’ouvre pas droit à des mesures de réadaptation (ATF 124 V 108 consid. 2b et les références). Reste réservé le droit à une aide au placement, sur demande écrite et motivée.</w:t>
      </w:r>
    </w:p>
    <w:p>
      <w:r>
        <w:rPr>
          <w:b/>
        </w:rPr>
        <w:t>E. 11</w:t>
      </w:r>
    </w:p>
    <w:p>
      <w:r>
        <w:t>Au vu de ce qui précède, mal fondé, le recours doit être rejeté.</w:t>
      </w:r>
    </w:p>
    <w:p>
      <w:r>
        <w:rPr>
          <w:b/>
        </w:rPr>
        <w:t>E. 12</w:t>
      </w:r>
    </w:p>
    <w:p>
      <w:r>
        <w:t>Conformément à l’art. 69 al. 1bis LAI, un émolument de 200 fr. est mis à la charge de la recourante, qui succombe.</w:t>
      </w:r>
    </w:p>
    <w:p>
      <w:r>
        <w:t>A/1806/2011 - 15/15 - 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