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ATAS/728/2021 vom 30. Juni 2021</w:t>
      </w:r>
    </w:p>
    <w:p>
      <w:r>
        <w:t>GE Cour de justice, 2021-06-30, FR</w:t>
      </w:r>
    </w:p>
    <w:p>
      <w:r>
        <w:rPr>
          <w:b/>
        </w:rPr>
        <w:t xml:space="preserve">Quelle: </w:t>
      </w:r>
      <w:r>
        <w:t>https://mcp.opencaselaw.ch/entscheid/ge_gerichte_ATAS_728_2021</w:t>
      </w:r>
    </w:p>
    <w:p>
      <w:r>
        <w:t>FR: GE_GERICHTE ATAS/728/2021 du 30 juin 2021</w:t>
      </w:r>
    </w:p>
    <w:p>
      <w:r>
        <w:t>IT: GE_GERICHTE ATAS/728/2021 del 30 giugno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t>A/817/2021 - 4/10 -</w:t>
      </w:r>
    </w:p>
    <w:p>
      <w:r>
        <w:rPr>
          <w:b/>
        </w:rPr>
        <w:t>E. 3</w:t>
      </w:r>
    </w:p>
    <w:p>
      <w:r>
        <w:t>Le litige porte sur le bien-fondé de la demande en condamnation au paiement des cotisations échues, ainsi que des intérêts et frais, formée par la demanderesse.</w:t>
      </w:r>
    </w:p>
    <w:p>
      <w:r>
        <w:rPr>
          <w:b/>
        </w:rPr>
        <w:t>E. 4</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w:t>
      </w:r>
    </w:p>
    <w:p>
      <w:r>
        <w:rPr>
          <w:b/>
        </w:rPr>
        <w:t>E. 6</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cf. TERCIER/PICHONNAZ, loc. cit., n. 1296). Si ni la preuve d’un intérêt moratoire conventionnel (en dérogation à l’art. 104 al. 1 CO), ni la preuve d’un intérêt conventionnel supérieur à 5% (au sens de l’art. 104 al. 2 CO) ne sont apportées par le créancier, l’intérêt moratoire légal de 5%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t>A/817/2021 - 5/10 -</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selon le contrat d’affiliation liant les parties, la défenderesse s’est engagée à verser les contributions facturées par la demanderesse. La défenderesse a formé opposition au commandement de payer qui lui a été adressé en lien avec sa créance envers la demanderesse, sans motiver sa position. La demanderesse a établi par décompte les versements de la défenderesse et le montant de sa créance envers celle-ci au 6 juillet 2020. Le montant de CHF 12'904.65 réclamé par la demanderesse à la défenderesse, se fonde sur le décompte de prime. Ledit décompte daté du 25 mars 2019, fait apparaître un montant dû, en janvier 2019, de CHF 3’020.30, ainsi qu’un montant dû, en décembre 2019, de CHF 9’139.10, l’addition des deux montants s’élevant à CHF 12’159.40. L’extrait de compte du 2 novembre 2020 prend en compte tous les paiements effectués jusqu’à cette date. Les frais de rappel par Fr. 300.- apparaissent à la date valeur du 6 juillet 2020, ainsi que les frais de poursuites et faillites par CHF 500.-, débités à la date valeur du 5 octobre 2020. Compte tenu des différents crédits et</w:t>
      </w:r>
    </w:p>
    <w:p>
      <w:r>
        <w:t>A/817/2021 - 6/10 - débits, c’est un solde de CHF 10’697.80, en faveur de la demanderesse, qui apparaît, à la date du 2 novembre 2020. Le montant des primes dues par la défenderesse à la demanderesse ressort du décompte des primes et des documents fournis par cette dernière ; la chambre de céans considère qu’il présente un degré de vraisemblance prépondérante et peut donc être suivi. La demanderesse a ajouté au montant des primes restant dues, le montant des intérêts de retard, soit CHF 403.85, ce qui est admissible au regard de l'art. 104 CO, dès lors que le débiteur a été mis en demeure de payer les primes restant dues et ne s’est pas exécuté.</w:t>
      </w:r>
    </w:p>
    <w:p>
      <w:r>
        <w:rPr>
          <w:b/>
        </w:rPr>
        <w:t>E. 11</w:t>
      </w:r>
    </w:p>
    <w:p>
      <w:r>
        <w:t>S’agissant des frais administratifs, les articles 66 al. 1 LPP et 331 al. 3 CO fixent le principe de la parité des cotisations dans les domaines respectivement obligatoire et surobligatoire. Ces deux dispositions n’exigent toutefois pas qu’une parité collective ou relative et non une parité individuelle : la somme des cotisations de l’employeur doit être au moins égale à la somme des cotisations des salariés. Cela n’exclut cependant pas que certains salariés aient à payer davantage que les autres, voire même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w:t>
      </w:r>
    </w:p>
    <w:p>
      <w:r>
        <w:t>A/817/2021 - 7/10 - LPP (Isabelle VETTER-SCHREIBER, Berufliche Vorsorge, n. 4 ad art. 66 LPP et les références). La perception de frais administratifs est donc possible pour autant qu’elle figure dans le règlement concernant les frais. En l’occurrence, le règlement sur les frais prévoit, sous ch. 2.1 « Frais pour travaux administratifs spéciaux », la facturation de frais de sommation par CHF 300.- et les frais de réquisition de poursuites par CHF 500.-. Compte tenu de ce qui précède la chambre de céans considère que le règlement concernant les frais autorise la demanderesse à réclamer, non seulement le montant des primes échues, mais également le montant des frais de sommation, les frais de réquisition de poursuite, ainsi qu’un intérêt moratoire sur le paiement des primes échues.</w:t>
      </w:r>
    </w:p>
    <w:p>
      <w:r>
        <w:rPr>
          <w:b/>
        </w:rPr>
        <w:t>E. 12</w:t>
      </w:r>
    </w:p>
    <w:p>
      <w:r>
        <w:t>La demanderesse conclut à l’octroi d’un intérêt moratoire à 5%, dès le 5 octobre 2020 applicable à la créance due.</w:t>
      </w:r>
    </w:p>
    <w:p>
      <w:r>
        <w:rPr>
          <w:b/>
        </w:rPr>
        <w:t>E. 13</w:t>
      </w:r>
    </w:p>
    <w:p>
      <w:r>
        <w:t>En l’espèce, la convention d’affiliation mentionne à son ch. 5.4 la possibilité que des intérêts débiteurs soient facturés pour des paiements effectués avec retard, sans procédure de recouvrement. La fondation se donne le droit de fixer des taux d’intérêt conforme aux conditions du marché. Dès lors, c’est l’intérêt moratoire légal de 5% prévu par l’art. 104 al. 1 CO qui s’applique. S’agissant de la date fixée pour le début du calcul des intérêts moratoires, soit le 5 octobre 2020, elle correspond au jour où la réquisition de poursuites a été déposée et peut donc être confirmée. Compte tenu de ce qui précède, la demanderesse a le droit d’appliquer à la créance due, un taux d’intérêt moratoire de 5%, dès le 5 octobre 2020.</w:t>
      </w:r>
    </w:p>
    <w:p>
      <w:r>
        <w:rPr>
          <w:b/>
        </w:rPr>
        <w:t>E. 14</w:t>
      </w:r>
    </w:p>
    <w:p>
      <w:r>
        <w:t>Reste à examiner la conclusion de la demanderesse tendant à obtenir la mainlevée définitive de l’opposition formée au commandement de payer dans la poursuite n° 1______. 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Carl JAEGER, Bundesgesetz über Schuldbetreibung und Konkurs, 1999 p. 621). Par</w:t>
      </w:r>
    </w:p>
    <w:p>
      <w:r>
        <w:t>A/817/2021 - 8/10 -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 23 octobre 2020, date à laquelle le délai de péremption d’un an a commencé à courir (ATF 125 III 45 consid. 3b). Par conséquent, la poursuite n’était pas périmée lorsque la demanderesse a saisi la chambre de céans, le 26 février 2021. En outre, la défenderesse n’a soulevé aucune exception énumérée à l’art. 81 LP (extinction de la dette, obtention d’un sursis ou de la prescription) et n’a réagi, ni aux mises en demeure de la demanderesse, ni aux courriers de la chambre de céans. Le montant réclamé de CHF 10'197.80 correspond au montant vu supra auquel la demanderesse a ajouté le montant de CHF 500.-, correspondant aux frais forfaitaires de réquisition de poursuite, ainsi qu’un montant de CHF 403.85 représentant les intérêts de retard. La mainlevée définitive de l’opposition au commandement de payer sera ainsi prononcée à hauteur de CHF 10’197. 80 dans la poursuite no 1______, avec un intérêt moratoire de 5% dès le 5 octobre 2020. Conformément au règlement concernant les frais, le montant forfaitaire de CHF 500.-, ainsi que le montant de CHF 403.85, pour les intérêts de retard, viendront s’ajouter à la créance en capital de CHF 10'197.80 figurant dans le commandement de payer.</w:t>
      </w:r>
    </w:p>
    <w:p>
      <w:r>
        <w:rPr>
          <w:b/>
        </w:rPr>
        <w:t>E. 15</w:t>
      </w:r>
    </w:p>
    <w:p>
      <w:r>
        <w:t>Enfin, la demanderesse conclut à ce que la défenderesse soit condamnée aux frais et dépens de la procédure.</w:t>
      </w:r>
    </w:p>
    <w:p>
      <w:r>
        <w:t>A/817/2021 - 9/10 - 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 Dans le cas présent, même si la demanderesse obtient effectivement entièrement gain de cause, il n'en demeure pas moins qu'elle n'est pas représentée par un avocat ou, d'une autre manière, par un mandataire professionnellement qualifié. Elle n'a, au demeurant, pas allégué de frais particulièrement importants pour défendre ses droits dans le cadre de la présente procédure. La demanderesse n’ayant pas fait appel à un avocat ou à un mandataire professionnellement qualifié, il ne lui sera pas accordé de dépens.</w:t>
      </w:r>
    </w:p>
    <w:p>
      <w:r>
        <w:rPr>
          <w:b/>
        </w:rPr>
        <w:t>E. 16</w:t>
      </w:r>
    </w:p>
    <w:p>
      <w:r>
        <w:t>S’agissant des frais, l’art. 73 al. 2 LPP précise que les cantons doivent prévoir une procédure simple, rapide et, en principe, gratuite. L’art. 89H al. 1 LPA prévoit quant à lui que la procédure est gratuite pour les parties, sous réserve de l’al. 4 (relatif à l’assurance-invalidité).</w:t>
      </w:r>
    </w:p>
    <w:p>
      <w:r>
        <w:t>A/817/2021 - 10/10 -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