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ATAS/728/2014 vom 17. Juni 2014</w:t>
      </w:r>
    </w:p>
    <w:p>
      <w:r>
        <w:t>GE Cour de justice, 2014-06-17, FR</w:t>
      </w:r>
    </w:p>
    <w:p>
      <w:r>
        <w:rPr>
          <w:b/>
        </w:rPr>
        <w:t xml:space="preserve">Quelle: </w:t>
      </w:r>
      <w:r>
        <w:t>https://mcp.opencaselaw.ch/entscheid/ge_gerichte_ATAS_728_2014</w:t>
      </w:r>
    </w:p>
    <w:p>
      <w:r>
        <w:t>FR: GE_GERICHTE ATAS/728/2014 du 17 juin 2014</w:t>
      </w:r>
    </w:p>
    <w:p>
      <w:r>
        <w:t>IT: GE_GERICHTE ATAS/728/2014 del 17 giugno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A/538/2014 - 5/8 -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réalisation de la condition difficile pour l'obtention d'une remise, celle la bonne foi étant admise.</w:t>
      </w:r>
    </w:p>
    <w:p>
      <w:r>
        <w:rPr>
          <w:b/>
        </w:rPr>
        <w:t>E. 5</w:t>
      </w:r>
    </w:p>
    <w:p>
      <w:r>
        <w:t>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Selon les directives applicables, pour l’établissement des revenus déterminants et de la fortune, on se fondera en règle générale sur les revenus obtenus au cours de l’année civile précédente et sur la fortune déterminante au 1er janvier de l’année civile ou cours de laquelle la décision de restitution est exécutoire (no 5______.). En cas de paiement rétroactif de rente ou en cas de transfert de biens après la décision (par exemple en cas d'héritage), la jurisprudence concernant les limites de revenu applicable ne vaut plus.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(ATF 122 V 134). Ainsi, si des prestations complémentaires devaient être restituées en raison d'un versement rétroactif de rentes, on ne pouvait opposer à l'ordre de restitution une éventuelle charge trop lourde lorsque les moyens financiers résultant des versements rétroactifs intervenus</w:t>
      </w:r>
    </w:p>
    <w:p>
      <w:r>
        <w:t>A/538/2014 - 6/8 - existaient encore au moment au moment de l'entrée en force de la décision de restitution (art. 4 al. 2 OPGA) et la situation difficile devait alors être niée (ATF 122 V 221).</w:t>
      </w:r>
    </w:p>
    <w:p>
      <w:r>
        <w:rPr>
          <w:b/>
        </w:rPr>
        <w:t>E. 6</w:t>
      </w:r>
    </w:p>
    <w:p>
      <w:r>
        <w:t>En l'espèce, la condition de la bonne foi ayant été admise, seule celle de la situation financière difficile est litigieuse. Selon la jurisprudence citée, si l'assurée disposait, au moment où elle devait restituer la somme due, d'une fortune suffisante, la situation difficile ne peut pas être retenue. Selon les extraits de compte produits, l'assurée disposait en tout cas d'une fortune de plus de CHF 14'000.- (CHF 9'745.- BCG ; CHF 805.- Crédit Suisse et CHF 3'878.- compte épargne Raiffeisen) le 24 septembre 2012 (lors de la notification de la première décision de restitution d'un montant de CHF 7'283.-). Sa fortune était de plus de CHF 180'000.- (CHF 6'505.- BCG ; CHF 3'800.- Crédit Suisse et CHF 170'000.- compte épargne Raiffeisen) à fin octobre 2012 (lors de la perception de l'héritage). Elle était de plus de CHF 39'000.- (CHF 3'890.- BGC ; CHF 164.- Crédit Suisse ; CHF 19'684.- compte épargne Raiffeisen et CHF 15'343.- compte privé Raiffeisen) début octobre 2013, (lors de la seconde décision de restitution de CHF 7'882.-) suite à l'arrêt du 27 août 2013. Au surplus, la comparaison des comptes produits et des pièces au dossier montre que l’assurée dispose encore d’autres comptes ou portefeuilles de titres. Il ressort d’une part que de son compte BCG qu’elle achète et vend des titres BCG. D'autre part, l’arrêt du 24 août 2013 (ATAS/826/2013) mentionne que l’assurée détenait un portefeuille d’obligations de la BCG d’un peu plus de CHF 20'000.- au 31 décembre 2012. Il est ainsi établi que l’assurée disposait d’une fortune suffisante pour payer le montant réclamé de CHF 5'327.- lors de la décision de restitution du 8 octobre 2013. En conséquence, c’est à juste titre que le SPC a refusé la remise, la condition de la situation difficile n’étant pas réalisée. Cela étant dit, le fait que l’assurée ait effectivement payé le 8 mars 2012 la somme de CHF 8'623.-, suite à la décision de restitution du 11 avril 2011 au moyen de ses économies (par débit de son compte BCG) n’est pas déterminant, puisqu’elle a ensuite encore disposé d’une fortune plus que suffisante pour payer son autre dette envers le SPC. De même, outre le fait qu’il n’est pas admissible de tenir compte d’une dette fiscale que l’assurée n’a pas payée dans l'examen de la situation difficile, il s’avère que l’assurée dispose vraisemblablement aujourd’hui encore d’une fortune suffisante pour payer tout ou partie de cette dette. En effet, si son compte épargne Raiffeisen présente un solde d’à peine CHF 15'000.- à fin décembre 2013, il s’avère que lors du crédit de CHF 165'438.- du 26 octobre 2012 (succession A______), l’assurée a acheté des titres Swisslife, Raiffeisen et Actelion pour plus de CHF 100'000.-. Finalement, l’état de fortune de l’assurée lui permettait lors de la décision de restitution et actuellement encore non seulement de payer la somme pour laquelle elle demande une remise, mais aussi de faire face aux frais qui ne sont pas pris en compte par le SPC (loyer de l'atelier, assurance-maladie complémentaire, etc.). Au 31 décembre 2012, elle disposait d’une épargne de CHF</w:t>
      </w:r>
    </w:p>
    <w:p>
      <w:r>
        <w:t>A/538/2014 - 7/8 - 18'129.- (compte Raiffeisen 4______), de CHF 43'225.- (compte Raiffeisen 3______), de CHF 14.- (compte Crédit Suisse), de CHF 26'434.- (compte BCG et titres BCG), étant relevé qu’elle dispose encore d’un autre compte, pris en considération dans la décision du SPC du 8 octobre 2013, qui présenterait un solde de CHF 74'035.- (compte Raiffesen 6______) et vraisemblablement des titres acquis pour près de CHF 100'000.- en novembre 2012.</w:t>
      </w:r>
    </w:p>
    <w:p>
      <w:r>
        <w:rPr>
          <w:b/>
        </w:rPr>
        <w:t>E. 7</w:t>
      </w:r>
    </w:p>
    <w:p>
      <w:r>
        <w:t>Le recours est rejeté et la procédure est gratuite.</w:t>
      </w:r>
    </w:p>
    <w:p>
      <w:r>
        <w:t>A/538/2014 - 8/8 -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