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ATAS/728/2013 vom 10. Juli 2013</w:t>
      </w:r>
    </w:p>
    <w:p>
      <w:r>
        <w:t>GE Cour de justice, 2013-07-10, FR</w:t>
      </w:r>
    </w:p>
    <w:p>
      <w:r>
        <w:rPr>
          <w:b/>
        </w:rPr>
        <w:t xml:space="preserve">Quelle: </w:t>
      </w:r>
      <w:r>
        <w:t>https://mcp.opencaselaw.ch/entscheid/ge_gerichte_ATAS_728_2013</w:t>
      </w:r>
    </w:p>
    <w:p>
      <w:r>
        <w:t>FR: GE_GERICHTE ATAS/728/2013 du 10 juillet 2013</w:t>
      </w:r>
    </w:p>
    <w:p>
      <w:r>
        <w:t>IT: GE_GERICHTE ATAS/728/2013 del 10 luglio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refus de prise en charge de l’accident du 28 décembre 2006 à partir du 1er décembre 2010 et le refus d’une rente d’invalidité. En revanche, il ne porte pas sur le taux de l’atteinte à l’intégrité, la décision sur opposition étant entrée force sur ce point faute d’avoir été attaquée par la recourante (cf. ATF 125 V 414 consid. 1b et 2 et les références citées).</w:t>
      </w:r>
    </w:p>
    <w:p>
      <w:r>
        <w:t>A/1050/2012 - 12/22 - Il convient en outre d’examiner si l’objet du litige peut être étendu à la rechute du 15 février 2012.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En l’espèce, étant donné que l’intimée n’a procédé à aucun acte d’instruction sur la rechute du 15 février 2012, cette question n’est pas en état d’être jugée de sorte qu’une des conditions permettant l’extension de l’objet du litige n’est pas réalisée. Par conséquent, la demande d’extension de l’objet du litige doit être rejetée.</w:t>
      </w:r>
    </w:p>
    <w:p>
      <w:r>
        <w:rPr>
          <w:b/>
        </w:rPr>
        <w:t>E. 5</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ATF 119 V 335 consid. 1; ATF 118 V 286 consid. 1b et les références). Une causalité partielle suffit pour admettre l'existence d'un tel lien de causalité (ATF 117 V 360 consid. 4b in fine; RAMA 1996 n° U 264 p. 287 ss consid. 3a).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ATF 125 V 456 consid. 5a et les références). La responsabilité de l'assureur-accidents s'étend, en principe, à toutes les conséquences dommageables qui se trouvent dans un rapport de causalité naturelle</w:t>
      </w:r>
    </w:p>
    <w:p>
      <w:r>
        <w:t>A/1050/2012 - 13/22 - et adéquate avec l'événement assuré. Les prestations d'assurance sont donc également allouées en cas de rechutes et de séquelles tardives (art. 11 OLAA).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cf. également ATF 8C_102/2008 du 16 septembre 2008 consid. 2.2).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w:t>
      </w:r>
    </w:p>
    <w:p>
      <w:r>
        <w:t>A/1050/2012 - 14/22 -</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A/1050/2012 - 15/22 -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7</w:t>
      </w:r>
    </w:p>
    <w:p>
      <w:r>
        <w:t>S’agissant du lien de causalité naturelle, les parties s’accordent pour reconnaître que, d’une part, la recourante présente des pieds plats valgues statiques et des halluces valgi, d’autre part, l’accident du 28 décembre 2006 a provoqué une fracture de la malléole postérieure et de la malléole externe gauches. En revanche, les parties s’opposent sur la question de savoir si les troubles douloureux persistants sont en rapport de causalité avec ledit accident ou avec les troubles préexistants. Selon le rapport d’expertise du Dr E_________ du 29 novembre 2010, l’accident du 28 décembre 2006 a entraîné une fracture luxation de la cheville gauche. Avec une grande probabilité, l’expert admet que cet accident a décompensé le pied plat valgue statique du côté gauche, l’a aggravé de manière déterminante et a induit une symptomatologie douloureuse persistante de la cheville gauche. En outre, au vu des lésions subies et de l’intervention chirurgicale pratiquée le 2 janvier 2007, il n’y aura ni statu quo ante, ni statu quo sine. Du fait de la persistance de la symptomatologie douloureuse au niveau de la cheville et du pied gauches, il considère que le traitement n’est pas terminé. Selon lui, l’état médical définitif n’est pas atteint au regard du valgus statique décompensé du pied gauche pour lequel il propose une arthroplastie sous-astragalienne externe, voire une intervention de type Grice dans le but de diminuer le valgus. L’expert a pris ces conclusions après avoir tenu compte de l’anamnèse ainsi que des plaintes de la recourante consistant essentiellement en une persistance de douleurs, une tuméfaction ainsi que des difficultés pour marcher au niveau de la cheville et du pied gauche, un pied gauche déformé en valgus, des difficultés à monter et descendre les escaliers à cause des douleurs et en périmètre de marche limité à 20 minutes. Il a également procédé à une nouvelle appréciation du dossier radiologique de la cheville gauche et à un examen clinique de la recourante, le 5 octobre 2010. De plus, il a demandé un examen neurologique de contrôle au Dr K_________ qui a eu lieu le 12 novembre 2010. Il a encore répondu dans son rapport du 21 juin 2012 à des questions complémentaires posées par l’intimée. Il décrit clairement les interférences médicales en expliquant que la recourante souffre d’un pied plat valgue statique bilatéral préexistant et que la situation s’est dégradée</w:t>
      </w:r>
    </w:p>
    <w:p>
      <w:r>
        <w:t>A/1050/2012 - 16/22 - uniquement du côté gauche depuis l’accident du 28 décembre 2006, ce qui établit au degré de la vraisemblance que ledit accident est la seule cause de cette aggravation sous forme de décompensation du trouble statique du côté gauche et d’une symptomatologie persistante à ce niveau. Par conséquent, l’expertise du Dr E_________ remplit les conditions formelles développées par la jurisprudence pour admette sa valeur probante. Il convient encore d’examiner si elle en remplit également les conditions matérielles. Selon l’intimée, l’expert n’explique pas en quoi il existerait un lien de causalité entre les troubles persistant lors de son examen clinique et l’accident autrement que par un raisonnement « post ergo propter hoc ». Au contraire, dans son rapport complémentaire du 21 juin 2012, l’expert démontre que ses conclusions se fondent sur d’autres éléments que l’enchaînement chronologique des faits, notamment au vu de la bilatéralité du pied plat valgue statique préexistant et du caractère indolore de ce trouble au pied droit et parce que la fracture-luxation pouvait endommager les structures externes de la cheville et du pied. Par conséquent, il a recherché l’étiologie des symptômes douloureux et, sur cette base, a conclu à l’existence d’un rapport de causalité avec l’accident au degré de la vraisemblance prépondérante. A ce sujet, la Cours de céans relève que, s’il n’y avait aucun rapport de causalité vraisemblable entre l’accident et l’aggravation du pied plat valgue gauche, on ne comprendrait pas pourquoi, le pied droit ne serait pas également devenu douloureux. Au demeurant, le Dr C_________, médecin-conseil de l’intimée admet dans son rapport du 7 mars 2012, qu’à la suite d’une fracture-luxation, le pied lésé peut changer de statique au moins temporairement ce qui confirme l’appréciation du lien de causalité par l’expert. Dans ce même rapport, le Dr C_________ observe que les troubles statiques peuvent normalement être résolus par des mesures simples. Toutefois, il raisonne en termes de normalité sans envisager le cas d’un trouble statique préexistant décompensé par une fracture-luxation de la cheville au contraire de l’expert. Par ailleurs, le reste de son rapport est aussi bien confus que contradictoire. En effet, il n’est pas possible à sa lecture de savoir si ses conclusions se rapportent aux nouveaux problèmes signalés par la recourante le 27 février 2012 ou si elles concernent la situation antérieure notamment à la date du rapport d’expertise du 29 novembre 2010 ou encore à celle de l’arthrodèse pratiquée le 13 janvier 2011. Enfin, en recommandant de clore le cas dans le cadre prévu par l’expert, le lecteur ne peut aucunement comprendre qu’il s’agit d’une clôture à la date du rapport d’expertise et non pas d’une clôture en suivant les conclusions de l’expert. Par ailleurs, dans son rapport du 27 août 2012, il admet que les troubles statiques et les douleurs au pied sont non seulement dus à l’accident du 28 décembre 2006 mais également à des facteurs défavorables tels qu’un excès pondéral, un suivi médical insuffisant et une compliance douteuse. Selon lui, au fil des ans les facteurs indépendants de l’accident ont largement pris le dessus dans l’évolution du cas. Ses considérations toutes générales, contradictoires, et</w:t>
      </w:r>
    </w:p>
    <w:p>
      <w:r>
        <w:t>A/1050/2012 - 17/22 - subjectives n’établissent pas que l’expert aurait omis de prendre en considération des éléments objectivables dans son appréciation. En effet, si les facteurs défavorables, notamment l’obésité, avaient eu une incidence sur l’évolution des troubles de la recourante, on ne comprend pas pourquoi ils n’auraient agi que sur le pied plat valgue gauche et non pas sur le pied plat valgue droit. Le médecin-conseil semble également ignorer qu’une causalité partielle entre l’accident et les atteintes à la santé est suffisante pour admettre un lien de causalité naturelle et qu’en présence d’une décompensation d’un état antérieur, le lien de causalité ne cesse que si le dommage résulte exclusivement de causes étrangères à l'accident. Par conséquent, ses rapports n’ont pas de valeur probante. Quant aux rapports du Dr D_________ des 21 octobre 2009 et 23 novembre 2009 ainsi que celui du Dr G_________ du 20 juin 2012, ils diagnostiquent un pied plat post-traumatique et un lien de causalité naturelle entre l’accident et cette atteinte à la santé. Ces rapports se bornent à poser un tel diagnostic sans en expliquer la justification. Or, dans son rapport complémentaire du 15 août 2012, le Dr E_________ considère qu’il n’y a aucune certitude quant à une origine post- traumatique de ce pied plat. En effet, la déformation de l’hallux valgus s’associe très souvent au pied plat. Elle est progressive et due à un relâchement des structures tendineuses et capsulaires. De plus, l’étiologie du pied plat de l’adulte est souvent consécutive au pied plat de l’enfant. Quant au pied plat traumatique, il s’accompagne souvent de lésions qui ne sont pas présentes chez la recourante. Bien qu’il ait suspecté un très discret diastasis tibio-péronier, cette suspicion n’a pas été confirmée par ses confrères, de sorte qu’il n’a y aucune base anatomique post- traumatique pour retenir un diagnostic de pied plat post-traumatique. Les fractures de la malléole externe et de la malléole postérieure sont des lésions très fréquentes au niveau de la cheville qui n’aboutissent pas forcément à un pied plat à moins d’une réduction de la fracture déficiente ce qui n’est pas le cas de la recourante. L’expert en conclut qu’elle souffre d’un pied plat préexistant qui a été décompensé par l’événement de 2006, mais qui n’a pas été aggravé dans sa forme anatomique. Au vu de cette appréciation détaillée et motivée, les rapports des médecins des HUG ne permettent pas de retenir un diagnostic de pied plat post-traumatique, respectivement de douter des conclusions de l’expert. Etant donné que les conclusions du Dr E_________ ne contiennent ni contradictions, ni défauts manifestes, elles remplissent toutes les conditions permettant de leur reconnaître une entière valeur probante. Par conséquent, la Cour de céans les fait siennes, à savoir que l’accident du 28 décembre 2006 a décompensé le pied plat valgue gauche, que le statu quo ante et le statu quo sine ne pourront jamais être récupérés, respectivement atteints parce que la symptomatologie douloureuse et les structures anatomiques au niveau du pied gauche ont été modifiées à la suite de l’accident du 28 décembre 2006 et de l’intervention du 16 mars 2010, qu’à la date du rapport d’expertise du 29 novembre</w:t>
      </w:r>
    </w:p>
    <w:p>
      <w:r>
        <w:t>A/1050/2012 - 18/22 - 2010 le traitement n’était pas terminé et que l’état n’était pas stabilisé au vu de l’opération préconisée dans le but de diminuer le valgus. Par conséquent, faute de rapport médical avec valeur probante permettant de considérer que les causes accidentelles ne jouaient plus aucun rôle sur l'atteinte à la santé de la recourante, l’intimée n’était pas en droit de refuser de prendre le cas en charge dès le 1er décembre 2010. A relever qu’après avoir mis en œuvre une expertise médicale, l’intimée ne pouvait pas ne suivre que très partiellement ses conclusions sans en contester la valeur probante, respectivement sans mettre en œuvre une surexpertise pour trancher les controverses médicales. Par conséquent, comme le relève la recourante, l’instruction du dossier a été défaillante.</w:t>
      </w:r>
    </w:p>
    <w:p>
      <w:r>
        <w:rPr>
          <w:b/>
        </w:rPr>
        <w:t>E. 8</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8C_86/2009 du 17 juin 2009, consid. 4). Est seul décisif le point de savoir si les causes accidentelles d'une atteinte à la santé ne jouent plus de rôle et doivent ainsi être considérées comme ayant disparu (ATFA non publié U 47/07 du 23 juin 2008, consid. 4 et les références).</w:t>
      </w:r>
    </w:p>
    <w:p>
      <w:r>
        <w:rPr>
          <w:b/>
        </w:rPr>
        <w:t>E. 9</w:t>
      </w:r>
    </w:p>
    <w:p>
      <w:r>
        <w:t>Le juge des assurances sociales doit procéder à des investigations supplémentaires ou en ordonner lorsqu'il y a suffisamment de raison pour le faire, eu égard aux</w:t>
      </w:r>
    </w:p>
    <w:p>
      <w:r>
        <w:t>A/1050/2012 - 19/22 -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RAMA 1985 p. 240 consid. 4 ; ATFA non publié I 751/03 du 19 mars 2004, consid. 3.3).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w:t>
      </w:r>
    </w:p>
    <w:p>
      <w:r>
        <w:rPr>
          <w:b/>
        </w:rPr>
        <w:t>E. 10</w:t>
      </w:r>
    </w:p>
    <w:p>
      <w:r>
        <w:t>En l’espèce, postérieurement au rapport d’expertise du 29 novembre 2010, aucun rapport médical avec valeur probante ne se prononce sur la question de savoir si le dommage résulte exclusivement de causes étrangères à l'accident. Or, entre ledit rapport d’expertise et la décision sur opposition du 21 mars 2012, la recourante a subi, le 13 janvier 2011, une arthrodèse sur le premier métatarsien et une ostéotomie de varisation du calcanéum. Toutefois, la Cour de céans ne dispose pas des connaissances médicales lui permettant de juger s’il s’agit de l’opération préconisée par l’expert ou s’il s’agit d’une autre intervention sans rapport avec la décompensation de l’état préexistant. Par conséquent, elle n’est pas en mesure de trancher la question de l’étendue des prestations encore dues à la recourante. Après réception du rapport d’expertise du 29 novembre 2010, l’intimé n’a procédé à aucun acte d’instruction bien que l’expert conclut tant à l’absence de retour au statu quo ante et d’atteinte du statu quo sine qu’à une décompensation d’un état préexistant. Par conséquent, il convient de renvoyer le dossier à l’intimée pour instruction complémentaire, notamment en constituant un dossier médical complet après le 30 novembre 2010 et en mettant en œuvre une nouvelle expertise médicale. Cette dernière devra permettre de déterminer si, postérieurement au 30 novembre 2010, l’atteinte à la santé résulte exclusivement de causes étrangères à l'accident du 28 décembre 2006, si le traitement médical est terminé et l’état de santé stabilisé,</w:t>
      </w:r>
    </w:p>
    <w:p>
      <w:r>
        <w:t>A/1050/2012 - 20/22 - quel est le taux de l’incapacité de travail en lien avec l’accident, respectivement la décompensation de l’état préexistant, et depuis quand, enfin si la recourante a subi une rechute le 15 février 2012. Cela fait, l’intimé devra rendre une nouvelle décision dans laquelle elle devra également statuer sur le droit à une rente d’invalidité pour autant que l’état de santé de la recourante en rapport de causalité avec l’accident soit stabilisé.</w:t>
      </w:r>
    </w:p>
    <w:p>
      <w:r>
        <w:rPr>
          <w:b/>
        </w:rPr>
        <w:t>E. 11</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Il est nécessaire, pour que l'article 36 al. 2 LAA soit applicable, que l'accident et l'événement non assuré aient causé ensemble un dommage (ATF 126 V 116 consid. 3a; ATF 121 V 326 consid. 3c; RAMA 2006 no U 570 p. 74; ATF non publié 8C_277/2007 du 2 avril 2008, consid. 4). Cette disposition ne trouve donc pas application lorsque l'accident et l'événement non assuré ont provoqué des dommages sans effet l'un sur l'autre. Tel est le cas, par exemple, quand les atteintes à la santé dues à l'accident d'une part, et à l'événement non assuré d'autre part, affectent des parties différentes du corps et ne présentent ainsi pas de caractères communs. L'assureur-accidents n'est alors tenu d'allouer ses prestations que pour les conséquences de l'accident proprement dit (ATF 121 V 333 consid. 3c). L'art.</w:t>
      </w:r>
    </w:p>
    <w:p>
      <w:r>
        <w:t>A/1050/2012 - 21/22 - 36 al. 2 LAA limite l'application du principe de la causalité en ce sens seulement qu'un état de santé préexistant, qui n'a jamais eu d'influence sur la capacité de travail, ne saurait être pris en considération afin de justifier la réduction des prestations.</w:t>
      </w:r>
    </w:p>
    <w:p>
      <w:r>
        <w:rPr>
          <w:b/>
        </w:rPr>
        <w:t>E. 12</w:t>
      </w:r>
    </w:p>
    <w:p>
      <w:r>
        <w:t>En l’espèce, l’intimée est tenue de continuer à verser ses prestations en nature et en espèces au moins jusqu’à l’opération du 13 janvier 2011, respectivement une indemnité journalière de 69 fr. 12 du 1er décembre 2010 au 11 janvier 2011 représentant un montant arrondi de 2'903 fr. 05 (42 jours). Au regard des conclusions du rapport d’expertise, la poursuite du traitement, notamment l’opération préconisée par l’expert était susceptible de produire une sensible amélioration de l'état de santé de la recourante. Par conséquent, il était prématuré de statuer sur le droit à une rente d’invalidité, de sorte que la décision litigieuse doit également être annulée sur ce point.</w:t>
      </w:r>
    </w:p>
    <w:p>
      <w:r>
        <w:rPr>
          <w:b/>
        </w:rPr>
        <w:t>E. 13</w:t>
      </w:r>
    </w:p>
    <w:p>
      <w:r>
        <w:t>Au vu de ce qui précède, le recours sera partiellement admis au sens des considérants et les décisions du 17 mars 2011 ainsi que du 21 mars 2012 seront annulées. La recourante obtenant gain de cause, une indemnité de 2'500 fr. lui sera accordée à titre de participation à ses frais et dépens (art. 61 let. g LPGA). Pour le surplus, la procédure est gratuite (art. 61 let. a LPGA).</w:t>
      </w:r>
    </w:p>
    <w:p>
      <w:r>
        <w:t>A/1050/2012 - 22/22 -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