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ATAS/728/2012 vom 30. Mai 2012</w:t>
      </w:r>
    </w:p>
    <w:p>
      <w:r>
        <w:t>GE Cour de justice, 2012-05-30, FR</w:t>
      </w:r>
    </w:p>
    <w:p>
      <w:r>
        <w:rPr>
          <w:b/>
        </w:rPr>
        <w:t xml:space="preserve">Quelle: </w:t>
      </w:r>
      <w:r>
        <w:t>https://mcp.opencaselaw.ch/entscheid/ge_gerichte_ATAS_728_2012</w:t>
      </w:r>
    </w:p>
    <w:p>
      <w:r>
        <w:t>FR: GE_GERICHTE ATAS/728/2012 du 30 mai 2012</w:t>
      </w:r>
    </w:p>
    <w:p>
      <w:r>
        <w:t>IT: GE_GERICHTE ATAS/728/2012 del 30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dispositions de la LPGA, entrée en vigueur le 1er janvier 2003, s’appliquent à l’AI, à moins que la présente loi ne déroge expressément à la LPGA (art. 1 al. 2 LAI).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particulier, les dispositions de la novelle du 12 mars 2003 modifiant la LAI (4ème révision), entrées en vigueur le 1er janvier 2004 (RO 2003 3852), et celles de la novelle du 6 octobre 2006 (5ème révision), entrées en vigueur le 1er janvier 2008, sont régies par ce principe. D’autre part, le juge des assurances sociales doit, en règle générale, apprécier la légalité des décisions attaquées d’après l’état de fait existant au moment où la décision litigieuse a été rendue (ATF 121 V 366 consid. 1b et les références citées). En l’occurrence, les dispositions des 4ème et 5ème révision de la LAI sont applicables dans la mesure de leur pertinence.</w:t>
      </w:r>
    </w:p>
    <w:p>
      <w:r>
        <w:rPr>
          <w:b/>
        </w:rPr>
        <w:t>E. 3</w:t>
      </w:r>
    </w:p>
    <w:p>
      <w:r>
        <w:t>Interjeté dans le délai et la forme prévus par la loi, le recours est recevable (art. 56 et 60 LPGA ; art. 89B de la loi sur la procédure administrative, du 12 septembre 1985 - LPA ; RS E 5 10).</w:t>
      </w:r>
    </w:p>
    <w:p>
      <w:r>
        <w:rPr>
          <w:b/>
        </w:rPr>
        <w:t>E. 4</w:t>
      </w:r>
    </w:p>
    <w:p>
      <w:r>
        <w:t>Le litige porte sur le degré d’invalidité du recourant.</w:t>
      </w:r>
    </w:p>
    <w:p>
      <w:r>
        <w:t>A/2735/2011 - 10/19 -</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 l’art. 28 al. 2 LAI (art. 28 al. 1 LAI teneur en vigueur du 1er janvier 2004 au 31 décembre 2007),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w:t>
      </w:r>
    </w:p>
    <w:p>
      <w:r>
        <w:t>A/2735/2011 - 11/19 -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 être arrondi au chiffre en pour cent supérieur ou inférieur selon les règles applicables en mathématiques.</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7</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w:t>
      </w:r>
    </w:p>
    <w:p>
      <w:r>
        <w:t>A/2735/2011 - 12/19 -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w:t>
      </w:r>
    </w:p>
    <w:p>
      <w:r>
        <w:t>A/2735/2011 - 13/19 - (VSI 5/1994 220 consid. 4a). En particulier, ils doivent mettre en œuvre une expertise lorsqu'il apparaît nécessaire de clarifier les aspects médicaux du cas (ATF 117 V 283 consid. 4a; RAMA 1985 p. 240 consid. 4; ATFA non publié I 751/03 du 19 mars 2004, consid. 3.3).</w:t>
      </w:r>
    </w:p>
    <w:p>
      <w:r>
        <w:rPr>
          <w:b/>
        </w:rPr>
        <w:t>E. 9</w:t>
      </w:r>
    </w:p>
    <w:p>
      <w:r>
        <w:t>Préalablement, le recourant demande à ce que l’avis du SMR du 27 septembre 2011 soit écarté de la procédure. Toutefois, dans la mesure où le nom du médecin a été communiqué, la Cour de céans ne voit pas de motif d’écarter le rapport SMR. Pour le surplus, le contenu dudit rapport sera examiné à la lumière des critères jurisprudentiels relatifs à la valeur probante des rapports médicaux.</w:t>
      </w:r>
    </w:p>
    <w:p>
      <w:r>
        <w:rPr>
          <w:b/>
        </w:rPr>
        <w:t>E. 10</w:t>
      </w:r>
    </w:p>
    <w:p>
      <w:r>
        <w:t>En l’espèce, l’intimé a mis en œuvre une expertise interdisciplinaire au CEMed où le recourant a été examiné en août et septembre 2008. Après avoir énuméré les diagnostics avec répercussion sur la capacité de travail, les experts on procédé à l’appréciation du cas. Ils ont relevé que la cirrhose hépatique est responsable d’un hypersplénisme avec thrombopénie et anémie, confirmés par les analyses sanguines effectuées le 22 juin 2008 lors de l’hospitalisation du patient. L’examen neurologique parle en faveur d’une polyneuropathie diabétique. Sur le plan cardiologique, la situation était parfaitement stabilisée. L’expert cardiologue a mis en évidence une parfaite fonction cardiaque et aucun signe d’insuffisance cardiaque ; de ce fait, il ne pose aucune limitation sur le plan cardiologique. La capacité d’effort très réduite de l’assuré provient d’autres causes : fatigue, obésité, déconditionnement musculaire. En raison de la cirrhose, de l’anémie et du diabète, l’assuré présente une fatigabilité accrue. Sur le plan ostéoarticulaire, il présente une périarthrite scapulohumérale droite, évoluant depuis deux ans de façon chronique avec des signes de conflit sous acromial, ainsi qu’une surcharge tendineuse prédominant au niveau du sus et sous-épineux. Ce qui limite fortement l’activité de nettoyage. L’insuffisance veineuse des membres inférieurs nécessite une contention veineuse. La situation peut être considérée comme stabilisée. L’état de santé est cependant fragile et peut se décompenser lors de tout événement intercurrent. Il est exigible de l’assuré qu’il s’efforce de perdre du poids, qu’il participe à un programme de reconditionnement musculaire et qu’il utilise une contention veineuse. L’assuré reste apte à effectuer un travail sédentaire durant lequel il a la possibilité de changer de position. Il doit pouvoir manger à heures régulières et faire des glycémies capillaires en cas de nécessité. Il ne doit pas travailler sur des machines dangereuses, ni dans les positions à risque de chute. Le porte de charge est limité à 5- 8 kilos. En conclusion, les experts ont conclu à une incapacité de travail totale dans l’activité de nettoyeur , qui n’est plus exigible, ce depuis le 29 mai 2006, date de la décompensation cardiaque. Dans une activité adaptée, de type sédentaire, respectant les limitations fonctionnelles, la capacité de travail est de 50 % (soit 4 heures par jour), sans diminution de rendement. La Cour de céans constate que le rapport d’expertise comporte une anamnèse familiale, personnelle, sociale et professionnelle détaillée. Le recourant a fait l’objet</w:t>
      </w:r>
    </w:p>
    <w:p>
      <w:r>
        <w:t>A/2735/2011 - 14/19 - d’un examen clinique, d’une évaluation psychiatrique, rhumatologique et cardiologique, ainsi que d’investigations paramédicales. Les experts ont relaté les plaintes du recourant et procédé à une appréciation et discussion du cas. Les diagnostics sont clairement posés et discutés et les limitations fonctionnelles bien décrites. La quantification des limitations de la capacité de travail en termes de présence et de rendement a été décidée par les experts lors d’une conférence de consensus. Enfin, leurs conclusions, fondées sur l’ensemble du dossier médical du recourant, sont claires et bien motivées. La Cour de céans relève par ailleurs qu’aucun rapport médical figurant au dossier n’est susceptible de remettre en cause les conclusions des experts. En effet, leur appréciation de la capacité résiduelle de travail rejoint celle évoquée en 2006 par le Dr C___________. Quant au Dr D___________, médecin traitant, il ne s’est pas prononcé clairement quant à la capacité résiduelle de travail du recourant dans une activité adaptée. Au vu de ce qui précède, le rapport d’expertise revêt pleine valeur probante, de sorte que la Cour de céans se ralliera aux conclusions des experts. Il convient ainsi d’admettre une incapacité totale de travail dès le 26 mai 2006 et une capacité de travail résiduelle de 4 heures par jour, dans une activité sédentaire, respectant les limitations fonctionnelles, depuis le 1er octobre 2006 comme l’intimé l’a retenu à juste titre.</w:t>
      </w:r>
    </w:p>
    <w:p>
      <w:r>
        <w:rPr>
          <w:b/>
        </w:rPr>
        <w:t>E. 11</w:t>
      </w:r>
    </w:p>
    <w:p>
      <w:r>
        <w:t>Le recourant fait valoir que les conclusions des experts ne tiennent pas compte d’événements survenus postérieurement à l’expertise de 2008, notamment de l’insuffisance cardiaque et des fibrillations auriculaires qui font à nouveau l’objet d’un suivi spécialisé, des varices rectales et de la déchirure du ménisque survenue le 25 mars 2010. De nombreuses pièces médicales ont été versées au dossier postérieurement à l’expertise. Il appert que le recourant a été hospitalisé du 5 au 9 octobre 2009 dans le service d’enseignement thérapeutique pour maladies chroniques des HUG avec comme objectif de perdre du poids en travaillant sur l’axe diététique. Selon le rapport médical du 15 décembre 2009, le diabète était équilibré, le recourant ne présentait pas de complication macro vasculaire, la micro albuminurie était le seul témoin de micro angiome, la neuropathie pouvait être également associée à l’éthylisme ancien et persistant. Le bilan hépatique s’améliorait. Les bons résultats biologiques provenaient de la baisse de la consommation d’alcool, d’une activité physique quotidienne et de l’amélioration des glycémies. Il y avait toutefois la persistance d’une hypokaliémie, pour laquelle le néphrologue avait introduit un traitement. Le patient poursuivait les investigations cardiologiques et gérait le traitement de ses apnées par CPAP (5 heures par nuit). L’ensemble de ses facteurs de risque était en recul. L’echo-Doppler carotidien et vertébral pratiqué le 11 novembre 2009 était sans anomalie et un examen artériel des membres inférieurs effectué le 1er décembre</w:t>
      </w:r>
    </w:p>
    <w:p>
      <w:r>
        <w:t>A/2735/2011 - 15/19 - 2009 n’a pas objectivé d’insuffisance artérielle. Une IRM du genou droit faite le 25 mars 2010 a mis en évidence une déchirure du ménisque justifiant une intervention chirurgicale. Le recourant a été hospitalisé du 27 avril 2010 au 11 mai 2010 aux HUG en raison de syncopes d’origine orthostatique. Le recourant présentait à l’entrée une insuffisance rénale aiguë prérénale, corrigée après rétablissement de la volémie. L’état général amélioré a permis un retour à domicile le 11 mai. L’échocardiographie transthoracique du 3 mai 2010 a montré notamment un ventricule gauche de taille normale, l’oreillette gauche modérément dilatée, l’oreillette droite discrètement dilatée, une sclérose aortique. Il n’y avait pas d’épanchement péricardique significatif. S’agissant des varices rectales découvertes lors de la coloscopie du 15 août 2008, la Cour de céans relève que contrairement à ce que le recourant soutient, elles n’ont pas été ignorées par les experts du CEMed, puisqu’il en est fait mention dans le préambule du rapport d’expertise. Cela étant, il n’apparaît pas que cette affection ait été jugée invalidante. A la lecture des pièces susmentionnées, la Cour de céans constate, avec le SMR, que les rapports médicaux produits ne permettent pas de conclure à une aggravation de l’état de santé susceptible d’influencer durablement la capacité de travail du recourant. Concernant la déchirure du ménisque du genou droit, le SMR relève que les limitations que cette affection entraîne ont déjà été décrites (possibilité de changer de position et de surélever les jambes, ne pas utiliser les escaliers de façon répétitive, éviter la position à genoux ou accroupie). Au vu de ce qui précède, l’on ne peut conclure à une aggravation notable et durable de l’état de santé du recourant, postérieurement à l’expertise.</w:t>
      </w:r>
    </w:p>
    <w:p>
      <w:r>
        <w:rPr>
          <w:b/>
        </w:rPr>
        <w:t>E. 12</w:t>
      </w:r>
    </w:p>
    <w:p>
      <w:r>
        <w:t>Reste à déterminer le degré d’invalidité du recourant. Pour le revenu de valide, l’intimé s’est fondé sur les données statistiques, dès lors que le recourant était au bénéfice de prestations d’assurance-chômage lors de la survenance de l’incapacité de travail durable. Dès lors que le recourant cherchait un emploi de nettoyeur de locaux, il s’est référé au tableau TA7, secteur nettoyage et hygiène publique, hommes, médiane, niveau 4, soit un revenu annuel de 55'447 fr. en 2010. A cet égard, la Cour de céans relève que le moment déterminant pour procéder à la comparaison des gains est celui de l’ouverture éventuelle du droit à la rente d’invalidité, soit mai 2007 en l’occurrence, et non 2010 comme l’a retenu à tort l’intimé (cf. art. 29 LAI, en sa teneur en vigueur jusqu’au 31 décembre 2007). Par conséquent, le salaire annuel selon le tableau TA7 s’élève, en 2007, à 52’066 fr. (4'095 fr. par mois en 2006 pour 40 heures par mois, soit 4'269 fr. pour 41,7 heures par semaine, correspondant à un salaire annuel de 51'228 fr.45, réactualisé à 2007).</w:t>
      </w:r>
    </w:p>
    <w:p>
      <w:r>
        <w:t>A/2735/2011 - 16/19 - Cela étant, il convient de rappeler que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p. 224 et la référence). Ce n'est qu'en présence de circonstances particulières qu'il peut se justifier qu'on s'en écarte et qu'on recoure aux données statistiques résultant de l'Enquête suisse sur la structure des salaires (ESS) éditée par l'Office fédéral de la statistique. Tel sera le cas lorsqu'on ne dispose d'aucun renseignement au sujet de la dernière activité professionnelle de l'assuré (arrêt T. du 23 mai 2000, U 243/99, consid. 2b),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(arrêt L. du 4 septembre 2002, I 774/01), ou rencontrait des difficultés professionnelles en raison d'une dégradation progressive de son état de santé (RCC 1985 p. 662). En l’espèce, avant de présenter une incapacité de travail, le recourant avait subi une période de chômage de plus de deux ans et se trouvait en fin de droit. Sans formation professionnelle certifiée, il cherchait une activité de nettoyeur de locaux. En effet, l’ancienne activité exercée entre 1978 et 2002 de chauffeur de poids lourds, respectivement chauffeur-livreur, n’a plus été possible, le recourant n’ayant plus de permis de conduire, à la suite d’un accident de la circulation semble-t-il (cf. rapport de réadaptation du 7 septembre 2009). Depuis le 1er février 2002, il a travaillé comme nettoyeur jusqu’à la faillite de son dernier employeur. Le dossier ne contient aucun renseignement émanant de l’employeur. Quant à l’activité d’employé de maintenance auprès de l’association REALISE, elle a été accomplie dans le cadre du chômage (cf. expertise p. 7 et 8), de sorte que l’on ne saurait en ternir compte. Selon l’extrait de ses comptes individuels, avant le chômage, le recourant a réalisé un salaire annuel de 42'610 fr. en 2001, de 48'727 fr. en 2002 et de 52'849 fr. en 2003, soit une moyenne de 48’062fr. En tenant compte de cette moyenne, réactualisée à 2007, le gain de valide s’élève à 50'354 fr. La Cour de céans retiendra ce montant dès lors qu’il s’agit de données concrètes qui correspondent à la situation du recourant. S’agissant du revenu d’invalide, en l’absence d’un revenu effectivement réalisé, l’intimé s’est référé aux données statistiques résultant de l’Enquête suisse sur la structure des salaires (ESS), soit sur le salaire que peuvent réaliser les hommes effectuant des activités simples et répétitives (ESS tableau TA1 2008, niveau de qualification 4). Toutefois, comme vu ci-dessus, c’est l’année 2007 qui est déterminante pour procéder à la comparaison des revenus. Selon les ESS, en 2006, le salaire de référence s’élevait à 4'732 fr. pour les hommes effectuant des activités simples et répétitives, niveau de qualification 4, pour une durée de 40 heures de travail. Compte tenu d’une durée hebdomadaire usuelle de travail dans les</w:t>
      </w:r>
    </w:p>
    <w:p>
      <w:r>
        <w:t>A/2735/2011 - 17/19 - entreprises de 41,7 heures (cf. La vie économique, 11-2011), le salaire mensuel atteint 4'921 fr, soit 59'055 fr. annuel. Réactualisé à 2007, le salaire d’invalide s’établi à 60'020 fr. et à 30'010 fr. pour une activité à 50 %. Le recourant considère que ce salaire doit être revu à la baisse de 35 % au moins, dès lors que si une capacité de travail résiduelle devait lui être reconnue, il n’aurait plus accès qu’à un nombre très limité de secteurs d’activité, dont il faut d’emblée exclure le secteur des machines et celui des activités manufacturières. Tel n’est pas l’avis de la Cour de céans. En effet, au vu du large éventail d’activités simples et répétitives que recouvrent les secteurs de la production et des services, on doit également convenir qu'un nombre significatif de ces activités sont légères et sont donc adaptées au handicap du recourant. L’intimé a procédé à un abattement de 15 % sur le revenu d’invalide, compte tenu des limitations fonctionnelles, de l’âge et du taux d’occupation. Le recourant conteste cette appréciation, considérant qu’un abattement de 25 % se justifie, dès lors qu’il est âgé de 56 ans, qu’il n’a aucune expérience dans les activités qui pourraient lui être accessibles, qu’il travaillerait à temps partiel et devrait encore négocier la possibilité de contrôler son taux de sucre et de pouvoir surélever ses jambes par moments. De plus, il souffre de troubles chroniques, de sorte qu’il aurait sans nul doute nombre de rendez-vous à négocier, sans parler du risque d’absentéisme en périodes de crises, facteurs qui influenceraient négativement son salaire d’embauche, tout comme une éventuelle progression salariale ultérieure.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p. 79; voir aussi ATF 135 V 297 consid. 5.2 et 6.2 p. 301 s., 134 V 322 consid. 5.2 et 6.2 p. 327 s.). La réduction des salaires ressortant des statistiques est du ressort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par exemple si l’administration a retenu des critères inappropriés, en ne tenant pas compte de circonstances pertinentes, en ne procédant pas à un</w:t>
      </w:r>
    </w:p>
    <w:p>
      <w:r>
        <w:t>A/2735/2011 - 18/19 - examen complet des circonstance pertinentes ou en n’usant pas de critères objectifs (ATF 130 III 176 consid. 1.2. p. 180). En l’espèce, la Cour de céans considère que le taux d’abattement de 15 % apparaît approprié, compte tenu des critères objectifs retenus par l’intimé. Le revenu d’invalide est ainsi de 25'508 fr. ; comparé au revenu de valide, le degré d’invalidité est de 52,06 %, ouvrant droit à une demi-rente d’invalidité. Quoi qu’il en soit, même si l’on appliquait un abattement de 25 % comme le voudrait le recourant, cela ne changerait rien à la solution du litige. En effet, le revenu d’invalide s’élèverait alors à 22'507 fr. et aboutirait à un degré d’invalidité de 57,70 %, arrondi à 58 %, ouvrant toujours droit à une demi-rente d’invalidité. Au vu de ce qui précède, la décision de l’intimé doit être confirmée.</w:t>
      </w:r>
    </w:p>
    <w:p>
      <w:r>
        <w:rPr>
          <w:b/>
        </w:rPr>
        <w:t>E. 13</w:t>
      </w:r>
    </w:p>
    <w:p>
      <w:r>
        <w:t>Mal fondé, le recours est rejeté.</w:t>
      </w:r>
    </w:p>
    <w:p>
      <w:r>
        <w:rPr>
          <w:b/>
        </w:rPr>
        <w:t>E. 14</w:t>
      </w:r>
    </w:p>
    <w:p>
      <w:r>
        <w:t>L’émolument, que la Cour de céans fixe à 200 fr. , est mis à la charge du recourant, qui succombe (cf. art. 69 al. 1bis LAI).</w:t>
      </w:r>
    </w:p>
    <w:p>
      <w:r>
        <w:t>A/2735/2011 - 19/19 -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