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ATAS/727/2018 vom 23. August 2018</w:t>
      </w:r>
    </w:p>
    <w:p>
      <w:r>
        <w:t>GE Cour de justice, 2018-08-23, FR</w:t>
      </w:r>
    </w:p>
    <w:p>
      <w:r>
        <w:rPr>
          <w:b/>
        </w:rPr>
        <w:t xml:space="preserve">Quelle: </w:t>
      </w:r>
      <w:r>
        <w:t>https://mcp.opencaselaw.ch/entscheid/ge_gerichte_ATAS_727_2018</w:t>
      </w:r>
    </w:p>
    <w:p>
      <w:r>
        <w:t>FR: GE_GERICHTE ATAS/727/2018 du 23 août 2018</w:t>
      </w:r>
    </w:p>
    <w:p>
      <w:r>
        <w:t>IT: GE_GERICHTE ATAS/727/2018 del 23 agosto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t>A/3491/2016 - 4/8 - En l'occurrence, les parties sont liées par un tel contrat. La compétence de la chambre de céans à raison de la matière pour juger du cas d’espèce est ainsi établie.</w:t>
      </w:r>
    </w:p>
    <w:p>
      <w:r>
        <w:rPr>
          <w:b/>
        </w:rPr>
        <w:t>E. 2</w:t>
      </w:r>
    </w:p>
    <w:p>
      <w:r>
        <w:t>L’art. 17 al. 1 CPC consacre la possibilité d’une élection de for écrite. En l’espèce, l’art. 23 des conditions générales d'assurance (CGA) relatives à l'assurance-maladie collective perte de salaire, édition du 1er mai 2009, prévoit que la Vaudoise reconnaît la compétence des tribunaux du domicile suisse du preneur d'assurance, de l'assuré ou de l'ayant droit. La demanderesse ayant son domicile dans le canton de Genève, la chambre de céans est aussi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S’agissant de l’objet du litige, la défenderesse reconnaît les conclusions principales de la demanderesse en paiement de la somme de CHF 37'756.80 à titre d’indemnités perte de gain pour son employé concernant la période de juillet à octobre 2015. Cela étant, il convient de constater qu’un accord est intervenu sur ce point. Reste ainsi litigieuse en l’occurrence la question des intérêts moratoires dus sur la somme précitée, ainsi que celle de savoir si la défenderesse est tenue de verser également la somme de CHF 2'496.- que la demanderesse a payée à titre de primes LPP pour son employé durant la période précitée, y compris les intérêts moratoires.</w:t>
      </w:r>
    </w:p>
    <w:p>
      <w:r>
        <w:rPr>
          <w:b/>
        </w:rPr>
        <w:t>E. 5</w:t>
      </w:r>
    </w:p>
    <w:p>
      <w:r>
        <w:t>Aux termes de la police d’assurance collective maladie perte de gain, les employés bénéficient d’une indemnité journalière à concurrence de 90% du salaire, payable dès le 15ème jour, pour une durée de 730 jours par cas. Les prestations sont versées dès l’expiration du délai d’attente, pour toute incapacité de travail de 25% au moins, proportionnellement au degré de l’incapacité de travail attestée (art. 8.1 CGA). L’allocation journalière est déterminée en fonction du salaire cotisant pour l’assurance-vieillesse et survivants, majorée des allocations familiales, que l’assuré a reçues dans l’entreprise déclarée au moment de la survenance de l’incapacité de travail, y compris les éléments de salaire non encore perçus et auxquels il a droit. Ce salaire est converti en gain annuel et divisé par 365 (art. 11.1 CGA). L’allocation journalière est due pour tous les jours, y compris les dimanches et jours fériés (art. 11.3 CGA). Pour le calcul de la durée des prestations, le taux d’incapacité de travail partielle d’au moins 25% compte comme jour entier (art. 12.1 CGA dernière phrase). Pour les personnes qui n’ont pas encore atteint l’âge de l’assurance-vieillesse et qui sont en incapacité de travail au moment où elles quittent l’entreprise assurée, le droit aux prestations pour la maladie en cours est maintenu jusqu’à l’épuisement de la durée maximale des prestations, à</w:t>
      </w:r>
    </w:p>
    <w:p>
      <w:r>
        <w:t>A/3491/2016 - 5/8 - condition que l’incapacité de travail persiste de manière ininterrompue. Les prestations sont alors limitées au degré d’incapacité de travail existant lorsque l’assuré quitte le cercle des personnes assurées (art. 12.4 CGA).</w:t>
      </w:r>
    </w:p>
    <w:p>
      <w:r>
        <w:rPr>
          <w:b/>
        </w:rPr>
        <w:t>E. 6</w:t>
      </w:r>
    </w:p>
    <w:p>
      <w:r>
        <w:t>a. Il sied de préciser en premier lieu que la demanderesse est partie au contrat d'assurance collective qu'elle a conclu avec la défenderesse. Il s'agit d'une stipulation pour autrui au sens de l'art. 112 al. 1 de la loi fédérale du 30 mars 1911, complétant le Code civil suisse (CO, Code des obligations - RS 220). En vertu de cette disposition, celui qui, agissant en son propre nom, a stipulé une obligation en faveur d'un tiers a le droit d'en exiger l'exécution au profit de ce tiers. Conformément à l'art. 87 LCA, l'assuré peut toutefois également réclamer personnellement les prestations. Ainsi, la demanderesse agit en l'occurrence en exécution du contrat, à savoir le versement des prestations convenues, et non pas en paiement de dommages-intérêts du fait de l'inexécution du contrat. b. Il résulte de ce qui précède que, contractuellement, la défenderesse ne doit qu’une indemnité journalière, représentant 90% du salaire, pendant une période d’incapacité de travail, à l’exclusion de toute autre prestation, notamment des cotisations LPP. Ainsi, comme la défenderesse l’a fait valoir à juste titre, une obligation de payer ces cotisations ne peut résulter que du contrat de travail et de la loi, mais non pas du contrat d'assurance. c. Il convient à cet égard de relever que, selon l’art. 8 al. 1 de la loi fédérale sur la prévoyance professionnelle vieillesse, survivants et invalidité du 25 juin 1982 (LPP - RS 831.40), le salaire coordonné doit être assuré. À l’alinéa 3 de cette disposition, il est précisé que si le salaire diminue temporairement par suite de maladie, d'accident, de chômage, de maternité ou d'autres circonstances semblables, le salaire coordonné est maintenu au moins pour la durée de l'obligation légale de l'employeur de verser le salaire selon l'art. 324a du code des obligations. La personne assurée peut toutefois demander la réduction du salaire coordonné. L’art. 324a CO prescrit que si le travailleur est empêché de travailler sans faute de sa part pour des causes inhérentes à sa personne, telles que maladie, accident, accomplissement d'une obligation légale ou d'une fonction publique, l'employeur lui verse le salaire pour un temps limité,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Un accord écrit, un contrat-type de travail ou une convention collective peut déroger aux présentes dispositions à condition d'accorder au travailleur des prestations au moins équivalentes (al. 4).</w:t>
      </w:r>
    </w:p>
    <w:p>
      <w:r>
        <w:t>A/3491/2016 - 6/8 - Un tel accord est intervenu en l’espèce, dès lors que l’employeur et les employés ont accepté, en cas d'incapacité de travail due à une maladie, le paiement d’une indemnité journalière de 90% du salaire, payable dès le 15ème jour, pour une durée de 730 jours par cas. Ainsi, pendant toute la durée d’indemnisation de l’assuré par l’assureur perte de gain, l’obligation de cotiser à l’institution de prévoyance professionnelle subsiste, en vertu de l'art. 8 al. 3 LPP, sous réserve de ce que l’employé ait demandé la réduction du salaire coordonné. S'agissant de l'obligation de cotiser au 2ème pilier, la situation est ainsi identique à celle où l’employeur paie à l’employé le salaire convenu en contrepartie du travail accompli. Partant, indépendamment du fait qu’aucune obligation contractuelle n’existe entre les parties de verser ces cotisations, il ne saurait être considéré que la demanderesse a versé des cotisations qui n’étaient pas dues. Elle n’a ainsi subi aucun dommage. Dans le cas contraire, elle aurait eu de surcroît une créance en restitution à l'encontre de l'institution de prévoyance professionnelle pour enrichissement illégitime. Dans la mesure où les dernières écritures de la demanderesse ne sont pas très claires, on peine à comprendre si elle réclame finalement la part de l'employeur ou de l'employé des cotisations LPP. Il sera dès lors précisé encore que les cotisations à la charge de l'employé ont en tout état de cause été déduites de son salaire, comme cela résulte des certificats de salaires produits. Partant, la demanderesse sera déboutée de sa conclusion en paiement des cotisations LPP assumées.</w:t>
      </w:r>
    </w:p>
    <w:p>
      <w:r>
        <w:rPr>
          <w:b/>
        </w:rPr>
        <w:t>E. 7</w:t>
      </w:r>
    </w:p>
    <w:p>
      <w:r>
        <w:t>Reste à examiner si la défenderesse doit des intérêts moratoires sur la somme de CHF 37'756.80. 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Aux termes de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w:t>
      </w:r>
    </w:p>
    <w:p>
      <w:r>
        <w:t>A/3491/2016 - 7/8 - notification au débiteur de la demande en justice ou du commandement de payer (Luc THEVENOZ, in Commentaire romand, Code des obligations I ad art. 104 CO, n. 9 p. 621). b. En l’espèce, la demanderesse a interpelé la défenderesse par courrier du 23 juillet 2015 et l’a mise en demeure de payer la totalité des salaires jusqu’à la fin des rapports de travail, soit jusqu’au 31 octobre 2015. Par conséquent, la défenderesse était en demeure à compter du 25 juillet 2015, étant précisé que le courrier du 23 juillet 2015 lui a été adressé en courrier A. Les prestations dues s’étendant encore sur 98 jours jusqu’au 31 octobre 2015, l’intérêt moratoire est dû depuis la date moyenne du 50ème jour, à savoir le 13 septembre 2015.</w:t>
      </w:r>
    </w:p>
    <w:p>
      <w:r>
        <w:rPr>
          <w:b/>
        </w:rPr>
        <w:t>E. 8</w:t>
      </w:r>
    </w:p>
    <w:p>
      <w:r>
        <w:t>Au vu de ce qui précède, il sera pris acte de l'engagement de la défenderesse de payer à la demanderesse la somme de CHF 37'756.80. La défenderesse sera par ailleurs condamnée à verser des intérêts moratoires de 5% sur cette somme à compter du 13 septembre 2015. Pour le surplus, la demande sera rejetée.</w:t>
      </w:r>
    </w:p>
    <w:p>
      <w:r>
        <w:rPr>
          <w:b/>
        </w:rPr>
        <w:t>E. 9</w:t>
      </w:r>
    </w:p>
    <w:p>
      <w:r>
        <w:t>La demanderesse, représentée par un Conseil, obtenant largement gain de cause, la défenderesse sera condamnée à lui verser une indemnité de CHF 5'000.- à titre de dépens, TVA et débours inclus (art. 26 al. 1 RTFMC). Il s’agit d’une indemnité réduite au vu de l’accord de la défenderesse avec la conclusion principale.</w:t>
      </w:r>
    </w:p>
    <w:p>
      <w:r>
        <w:rPr>
          <w:b/>
        </w:rPr>
        <w:t>E. 10</w:t>
      </w:r>
    </w:p>
    <w:p>
      <w:r>
        <w:t>Pour le surplus, la procédure est gratuite (art. 114 let. e CPC).</w:t>
      </w:r>
    </w:p>
    <w:p>
      <w:r>
        <w:t>A/3491/2016 - 8/8 -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