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ATAS/726/2021 vom 30. Juni 2021</w:t>
      </w:r>
    </w:p>
    <w:p>
      <w:r>
        <w:t>GE Cour de justice, 2021-06-30, FR</w:t>
      </w:r>
    </w:p>
    <w:p>
      <w:r>
        <w:rPr>
          <w:b/>
        </w:rPr>
        <w:t xml:space="preserve">Quelle: </w:t>
      </w:r>
      <w:r>
        <w:t>https://mcp.opencaselaw.ch/entscheid/ge_gerichte_ATAS_726_2021</w:t>
      </w:r>
    </w:p>
    <w:p>
      <w:r>
        <w:t>FR: GE_GERICHTE ATAS/726/2021 du 30 juin 2021</w:t>
      </w:r>
    </w:p>
    <w:p>
      <w:r>
        <w:t>IT: GE_GERICHTE ATAS/726/2021 del 30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w:t>
      </w:r>
    </w:p>
    <w:p>
      <w:r>
        <w:t>A/1269/2021 - 5/10 -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 prévus par la loi (art. 38 et 56 ss LPGA), le recours est recevable.</w:t>
      </w:r>
    </w:p>
    <w:p>
      <w:r>
        <w:rPr>
          <w:b/>
        </w:rPr>
        <w:t>E. 3</w:t>
      </w:r>
    </w:p>
    <w:p>
      <w:r>
        <w:t>Le litige porte sur le bien-fondé de la sanction de 4 jours de suspension.</w:t>
      </w:r>
    </w:p>
    <w:p>
      <w:r>
        <w:rPr>
          <w:b/>
        </w:rPr>
        <w:t>E. 4</w:t>
      </w:r>
    </w:p>
    <w:p>
      <w:r>
        <w:t>a. L’inscription au chômage et le fait de remplir les conditions d'octroi de l'indemnité de chômage énumérées à l’art. 8 LACI ne débouchent sur une indemnisation que si l’assurée exerce à temps son droit à l’indemnité de chômage auprès d’une caisse de chômage. b.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ATF 113 V 66 ; arrêt du Tribunal fédéral 8C_320/2010 du 14 décembre 2010 consid. 2.1 ; Boris RUBIN, Assurance-chômage et service public de l’emploi, 2019, n. 309). c. Pour exercer valablement son droit, l’assurée doit remettre à sa caisse de chômage divers documents, énumérés à l’art. 29 al. 1 de l’ordonnance sur l'assurance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d. Il sied de préciser que l’art. 29 al. 3 OACI – selon lequel la caisse de chômage impartit à l’assurée un délai convenable pour compléter les documents et le rend attentif aux conséquences d’une négligence – ne s'applique qu’en cas de présentation en temps utile de documents incomplets, mais pas si l'assurée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w:t>
      </w:r>
    </w:p>
    <w:p>
      <w:r>
        <w:rPr>
          <w:b/>
        </w:rPr>
        <w:t>E. 5</w:t>
      </w:r>
    </w:p>
    <w:p>
      <w:r>
        <w:t>a. Il incombe à la personne assurée de prouver que les documents qu’elle a envoyés à l’autorité ont réellement été envoyés et qu’ils l’ont été à temps. Cela vaut notamment pour les IPA, comme par exemple aussi pour les preuves des recherches personnelles d’emploi (Boris RUBIN, op. cit., n. 314 et 1116 s.).</w:t>
      </w:r>
    </w:p>
    <w:p>
      <w:r>
        <w:t>A/1269/2021 - 6/10 - b. 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photos (arrêts du Tribunal fédéral 9C_478/2017 du 5 mars 2018 consid. 1 ; 9C_791/2015 du 1er septembre 2016 consid. 2).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 c. Comme le Tribunal fédéral l’a rappelé dans un récent arrêt concernant la remise à temps de la liste des recherches d’emploi (8C_747/2018 du 20 mars 2019 consid. 2.2), malgré les pertes de documents pouvant se produire dans toute administration, la jurisprudence a presque toujours indiqué que les assurés supportaient les conséquences de l'absence de preuve en ce qui concerne la remise d’une telle liste (cf. arrêt C 294/99 du 14 décembre 1999 consid. 2a, in DTA 2000 n. 25 p. 122 ; cf. aussi les arrêts 8C_239/2018 du 12 février 2019 consid. 3.2 ; 8C_460/2013 du 16 avril 2014 consid. 3 ;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op. cit., n. 32 ad art. 17). Cela vaut aussi pour la remise à temps des IPA.</w:t>
      </w:r>
    </w:p>
    <w:p>
      <w:r>
        <w:rPr>
          <w:b/>
        </w:rPr>
        <w:t>E. 6</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t>A/1269/2021 - 7/10 -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7</w:t>
      </w:r>
    </w:p>
    <w:p>
      <w:r>
        <w:t>En l’espèce, la recourante soutient que ce n’est pas en raison de sa responsabilité, mais en raison d’un dysfonctionnement de la plate-forme informatique Job-Room que ses preuves de recherche d’emploi n’ont pas été des transmises à temps à l’OCE. À titre préalable, il sied de répondre aux interrogations de la recourante concernant le fait que les décisions communiquées par l’OCE ne sont pas signées de manière manuscrite et transmises par voie électronique ; cet état de fait se justifie dès lors que – comme le souligne l’OCE – il s’agit d’un traitement de masse, étant précisé que la recourante n’a – à aucun moment – eu le moindre doute sur la validité de la décision et n’a pas subi de dommage ou de retard en raison de l’absence de signature manuscrite. La recourante demande la production des fichiers informatiques de Job-Room, par l’OCE, afin de démontrer qu’elle a introduit dans le délai les recherches d’emploi dans le logiciel Job-Room.</w:t>
      </w:r>
    </w:p>
    <w:p>
      <w:r>
        <w:t>A/1269/2021 - 8/10 - Il est loisible à la chambre de céans, sur la base d’une appréciation anticipée des preuves déjà disponibles, de refuser l’administration d’une preuve supplémentaire, au motif qu’elle la tient pour impropre à modifier sa conviction. Il est douteux que la preuve requise par la recourante soit utile pour la procédure, dès lors que ce qui lui est reproché n’est pas d’avoir introduit – ou pas – ses recherches dans la plateforme informatique Job-Room, mais de ne pas avoir transmis, avant le 5 du mois suivant, lesdites preuves de recherches à l’ORP. Alors qu’elle s’était rendue compte, au plus tard le 11 novembre 2020, que les preuves de recherches d’emploi n’avaient pas été enregistrées sur Job-Room, la recourante n’a pas réagi, dans des délais raisonnables, pour transmettre lesdites preuves de recherche d’emploi à sa conseillère. Ce n’est, en effet, que le 25 novembre 2020 - soit deux semaines plus tard - qu’elle a été en mesure de communiquer, par e-mail, les preuves de recherches d’emploi à cette dernière. La recourante, qui allègue des difficultés informatiques pour télécharger le document de l’OCE et justifie ainsi son retard, aurait pu et dû agir bien plus tôt, quitte à transmettre les preuves de recherches d’emploi par la Poste, en confectionnant, par exemple, l’équivalent du formulaire de l’OCE sur papier libre, ce qui était aisé à faire. Compte tenu de ce qui précède et à défaut de preuves fournies par la recourante, la chambre de céans considère qu’il est établi, au degré de la vraisemblance prépondérante, qu’en raison d’une manipulation erronée, la transmission des preuves de recherches d’emploi n’a pas pu être effectuée par le biais de la plate- forme Job-Room. Cette hypothèse est renforcée par le fait que la recourante a également effectué une manipulation erronée en enregistrant l’e-mail destiné à l’ORP dans son dossier « brouillon » plutôt qu’en l’envoyant par e-mail à sa conseillère, comme cette dernière le lui avait demandé. La recourante invoque des problèmes informatiques et produit un e-mail de réception de l’aide en ligne « Apple » sans toutefois qu’il soit possible d’établir un lien de causalité avec le retard pris dans la transmission de l’e-mail. Il sied de rappeler qu’un assuré peut s’attendre raisonnablement à ce que des problèmes informatiques puissent intervenir, de temps en temps et retarder l’envoi des documents à l’ORP ; il lui appartient donc de prendre des mesures préventives, en envoyant, par exemple, manuellement ses preuves de recherches d’emplois, bien avant l’échéance du cinq du mois, de manière à s’assurer – en cas de problèmes informatiques – de disposer d’un délai lui permettant de réagir, voire de transmettre lesdites preuves de recherches d’emploi par courrier, ou de les déposer directement dans les locaux de l’ORP. De même, l’assuré doit se montrer diligent en contrôlant la confirmation de l’enregistrement de ses recherches dans le système Job-Room et en vérifiant l’envoi de ses preuves de recherches d’emploi de manière à s’assurer que ces dernières ont bien été transmises à travers la plate-forme Job-Room, avant l’échéance du cinq du mois suivant.</w:t>
      </w:r>
    </w:p>
    <w:p>
      <w:r>
        <w:t>A/1269/2021 - 9/10 -</w:t>
      </w:r>
    </w:p>
    <w:p>
      <w:r>
        <w:rPr>
          <w:b/>
        </w:rPr>
        <w:t>E. 8</w:t>
      </w:r>
    </w:p>
    <w:p>
      <w:r>
        <w:t>Le principe de la faute étant admis, il convient de s’assurer de la proportionnalité de la sanction décidée par l’OCE. En l’occurrence, l’intimé a revu sa première décision et appliqué la sanction stipulée au ch. D 79 1.C. du Bulletin LACI IC publié par le SECO (ci-après : barème SECO), qui prévoit une suspension d’une durée de 3-4 jours, en cas de recherches insuffisantes et qualifie la faute de légère, tout en soulignant qu’il s’agit d’un deuxième manquement. Aucun élément ne permet à la chambre de céans de se distancer de l’appréciation de l’OCE, étant précisé que la sanction correspond au barème SECO.</w:t>
      </w:r>
    </w:p>
    <w:p>
      <w:r>
        <w:rPr>
          <w:b/>
        </w:rPr>
        <w:t>E. 9</w:t>
      </w:r>
    </w:p>
    <w:p>
      <w:r>
        <w:t>Partant, la décision querellée est bien fondée et la chambre de céans n’a d’autre choix que de rejeter le recours.</w:t>
      </w:r>
    </w:p>
    <w:p>
      <w:r>
        <w:rPr>
          <w:b/>
        </w:rPr>
        <w:t>E. 10</w:t>
      </w:r>
    </w:p>
    <w:p>
      <w:r>
        <w:t>Pour le surplus, la procédure est gratuite.</w:t>
      </w:r>
    </w:p>
    <w:p>
      <w:r>
        <w:t>A/1269/2021 - 10/10 -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