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ATAS/726/2019 vom 20. August 2019</w:t>
      </w:r>
    </w:p>
    <w:p>
      <w:r>
        <w:t>GE Cour de justice, 2019-08-20, FR</w:t>
      </w:r>
    </w:p>
    <w:p>
      <w:r>
        <w:rPr>
          <w:b/>
        </w:rPr>
        <w:t xml:space="preserve">Quelle: </w:t>
      </w:r>
      <w:r>
        <w:t>https://mcp.opencaselaw.ch/entscheid/ge_gerichte_ATAS_726_2019</w:t>
      </w:r>
    </w:p>
    <w:p>
      <w:r>
        <w:t>FR: GE_GERICHTE ATAS/726/2019 du 20 août 2019</w:t>
      </w:r>
    </w:p>
    <w:p>
      <w:r>
        <w:t>IT: GE_GERICHTE ATAS/726/2019 del 20 agosto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doit être déposé dans les trente jours suivant la notification de la décision sujette à recours (art. 60 al. 1 LPGA).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119 II 149 consid. 2, 119 V 94 consid. 4b/aa et les références). Selon l'art. 89C LPA, les délais en jours ou en mois fixés par la loi ou par l'autorité ne courent pas : a) du 7e jour avant Pâques au 7e jour après Pâques inclusivement; b) du 15 juillet au 15 août inclusivement; c) du 18 décembre au 2 janvier inclusivement. La suspension des délais selon la LPA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w:t>
      </w:r>
    </w:p>
    <w:p>
      <w:r>
        <w:t>A/1582/2019 - 4/6 - délai, on détermine d’abord la fin du délai en partant du jour de la communication, puis on ajoute le nombre de jours de suspension écoulés (ATF 131 V 314 consid. 4.6).</w:t>
      </w:r>
    </w:p>
    <w:p>
      <w:r>
        <w:rPr>
          <w:b/>
        </w:rPr>
        <w:t>E. 3</w:t>
      </w:r>
    </w:p>
    <w:p>
      <w:r>
        <w:t>En l'espèce, la décision litigieuse a été notifiée à l’assurée par courrier recommandé le 22 février 2019. L'assurée a déposé son recours à la Poste le 18 avril 2019, soit après l’expiration du délai de trente jours. En vertu de l’art. 16 al. 1 LPA, le délai légal ne peut être prolongé (cf. également art. 40 al. 1 LPGA). Il s'agit-là de dispositions impératives auxquelles il ne peut être dérogé (ATF 119 II 87 ; ATF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En l'occurrence, dans son courrier du 15 mars 2019 adressé au SPC, l’assurée a sollicité une prolongation de son délai de recours. Or, le délai de recours ne peut être prolongé. Il aurait alors appartenu au SPC de transmettre le courrier à la chambre de céans comme objet de sa compétence. La question de l’irrecevabilité de l’acte du 16 avril 2019 pour cause de tardiveté peut quoi qu’il en soit être laissée ouverte dès lors qu’il y a lieu de constater qu’en informant la chambre de céans que son époux avait quitté le domicile conjugal le 10 avril 2019, l’assurée fait valoir un fait nouveau survenu après la décision sur opposition du 21 février 2019. Or,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A/1582/2019 - 5/6 - décision administrative (ATF 121 V 366 consid. 1b et les références). Aussi un recours est-il prématuré et est, partant, irrecevable. Du reste, considérant qu’en réalité, le 16 avril 2019, l’assurée avait déposé une nouvelle demande de prestations complémentaires à la suite du départ de son mari du domicile conjugal le 10 avril 2019, le SPC a d’ores et déjà annoncé qu’il statuera sur cette demande et notifiera à l’intéressée une décision sujette à opposition. La chambre de céans en prend dès lors acte.</w:t>
      </w:r>
    </w:p>
    <w:p>
      <w:r>
        <w:t>A/1582/2019 - 6/6 -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