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ATAS/726/2016 vom 12. September 2016</w:t>
      </w:r>
    </w:p>
    <w:p>
      <w:r>
        <w:t>GE Cour de justice, 2016-09-12, FR</w:t>
      </w:r>
    </w:p>
    <w:p>
      <w:r>
        <w:rPr>
          <w:b/>
        </w:rPr>
        <w:t xml:space="preserve">Quelle: </w:t>
      </w:r>
      <w:r>
        <w:t>https://mcp.opencaselaw.ch/entscheid/ge_gerichte_ATAS_726_2016</w:t>
      </w:r>
    </w:p>
    <w:p>
      <w:r>
        <w:t>FR: GE_GERICHTE ATAS/726/2016 du 12 septembre 2016</w:t>
      </w:r>
    </w:p>
    <w:p>
      <w:r>
        <w:t>IT: GE_GERICHTE ATAS/726/2016 del 12 settembre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w:t>
      </w:r>
    </w:p>
    <w:p>
      <w:r>
        <w:t>A/347/2016 5/7 civile du 19 décembre 2008 – CPC - RS 272), exécuter d'office le partage sur la base de la clé de répartition déterminée par le juge du divorce.</w:t>
      </w:r>
    </w:p>
    <w:p>
      <w:r>
        <w:rPr>
          <w:b/>
        </w:rPr>
        <w:t>E. 2</w:t>
      </w:r>
    </w:p>
    <w:p>
      <w:r>
        <w:t>Selon l'art. 22 LFLP, en cas de divorce, les prestations de sortie acquises durant le mariage sont partagées conformément aux art. 122 et 123 du code civil (CC); les art. 3 à 5 LFLP s'appliquent par analogie au montant à transférer (al.1).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Pour ce calcul, on ajoute à la prestation de sortie et à l'avoir de libre passage existant au moment de la conclusion du mariage les intérêts dus au moment du divorce. Les paiements en espèces effectués durant le mariage ne sont pas pris en compte (al.2). (ATF 128 V 230; ATF 129 V 444). Les parties d'un versement unique financé durant le mariage par l'un des conjoints au moyen de biens qui, dans le régime matrimonial de la participation aux acquêts, entreraient de par la loi dans les biens propres (art. 198 CC) doivent être déduits, y compris les intérêts, de la prestation de sortie à partager (al.3).</w:t>
      </w:r>
    </w:p>
    <w:p>
      <w:r>
        <w:rPr>
          <w:b/>
        </w:rPr>
        <w:t>E. 3</w:t>
      </w:r>
    </w:p>
    <w:p>
      <w:r>
        <w:t>Les paiements en espèces effectués durant le mariage en application de l'art. 5 al. 1 LFLP, soit lorsque l'assuré quitte définitivement la Suisse (let. a), lorsqu'il s'établit à son compte et qu'il n'est plus soumis à la prévoyance professionnelle obligatoire (let. b) ou lorsque le montant de la prestation de sortie est inférieur au montant annuel de ses cotisations (let. c), ne sont pas pris en compte dans le cadre du partage de la prévoyance professionnelle (art. 22 al. 2 in fine LFLP, PICHONNAZ, in Commentaire romand, Code civil I, n. 36 ad art. 122 CC).</w:t>
      </w:r>
    </w:p>
    <w:p>
      <w:r>
        <w:rPr>
          <w:b/>
        </w:rPr>
        <w:t>E. 4</w:t>
      </w:r>
    </w:p>
    <w:p>
      <w:r>
        <w:t>L'art. 5a LFLP - Paiement en espèces dans les Etats membres de la Communauté européenne (CE) -, introduit par le ch. I 8 de la LF du 8 oct. 1999 sur l'Accord entre d'une part, la Confédération suisse et, d'autre part, la CE et ses Etats membres sur la libre circulation des personnes (RO 2002 701; FF 1999 5440) a été abrogé par le ch. 3 de l'annexe à la LF du 3 oct. 2003 (1re révision LPP), avec effet au 1er janv. 2005 (RO 2004 1677; FF 2000 2495). Il prévoyait qu'en ce qui concerne les avoirs de vieillesse visés à l’art. 15 de la loi fédérale du 25 juin 1982 sur la prévoyance professionnelle, vieillesse, survivants et invalidité qu’ils ont accumulés jusqu’à leur sortie de l’institution de prévoyance, les assurés peuvent demander qu’ils leur soient payés en espèces: a. s’ils ont quitté définitivement la Suisse et b. s’ils ne continuent pas à bénéficier d’une assurance obligatoire contre les risques de vieillesse, de décès ou d’invalidité dans l’un des Etats membres de la Communauté européenne (al. 1). L’al. 1 entre en vigueur cinq ans après la date de l’entrée en vigueur de l’Accord du 21 juin 1999 entre, d’une part, la Confédération suisse et, d’autre part, la Communauté européenne et ses Etats membres sur la libre circulation des personnes (al. 2).</w:t>
      </w:r>
    </w:p>
    <w:p>
      <w:r>
        <w:t>A/347/2016 6/7</w:t>
      </w:r>
    </w:p>
    <w:p>
      <w:r>
        <w:rPr>
          <w:b/>
        </w:rPr>
        <w:t>E. 5</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6</w:t>
      </w:r>
    </w:p>
    <w:p>
      <w:r>
        <w:t>En l’espèce, le juge de première instance a ordonné le partage par moitié des prestations de sortie acquises durant le mariage par les demandeurs. Les dates pertinentes sont, d’une part, celle du mariage, le 29 août 1996, d’autre part le 20 janvier 2016, date à laquelle le jugement de divorce est devenu exécutoire.</w:t>
      </w:r>
    </w:p>
    <w:p>
      <w:r>
        <w:rPr>
          <w:b/>
        </w:rPr>
        <w:t>E. 7</w:t>
      </w:r>
    </w:p>
    <w:p>
      <w:r>
        <w:t>Selon les documents produits, la prestation acquise pendant le mariage par le demandeur est de CHF 17'020.25, les intérêts ayant déjà été calculés par les institutions de prévoyance défenderesses. Ainsi le demandeur doit à son ex-épouse le montant de CHF 8'510.15 (CHF 17'020.25 : 2).</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w:t>
      </w:r>
    </w:p>
    <w:p>
      <w:r>
        <w:t>***</w:t>
      </w:r>
    </w:p>
    <w:p>
      <w:r>
        <w:t>A/347/2016 7/7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