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ATAS/726/2010 vom 10. Dezember 2009</w:t>
      </w:r>
    </w:p>
    <w:p>
      <w:r>
        <w:t>GE Cour de justice, 2009-12-10, FR</w:t>
      </w:r>
    </w:p>
    <w:p>
      <w:r>
        <w:rPr>
          <w:b/>
        </w:rPr>
        <w:t xml:space="preserve">Quelle: </w:t>
      </w:r>
      <w:r>
        <w:t>https://mcp.opencaselaw.ch/entscheid/ge_gerichte_ATAS_726_2010</w:t>
      </w:r>
    </w:p>
    <w:p>
      <w:r>
        <w:t>FR: GE_GERICHTE ATAS/726/2010 du 10 décembre 2009</w:t>
      </w:r>
    </w:p>
    <w:p>
      <w:r>
        <w:t>IT: GE_GERICHTE ATAS/726/2010 del 10 dicembre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A/798/2010 3/4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donné acte aux ex-époux de ce qu'il étaient d'accord de se partager par moitié les prestations de sortie acquises durant le mariage. Les dates pertinentes sont, d’une part, celle du mariage, le 20 décembre 2000, d’autre part le 27 février 2010, date à laquelle le jugement de divorce est devenu exécutoire.</w:t>
      </w:r>
    </w:p>
    <w:p>
      <w:r>
        <w:rPr>
          <w:b/>
        </w:rPr>
        <w:t>E. 4</w:t>
      </w:r>
    </w:p>
    <w:p>
      <w:r>
        <w:t>Selon les renseignements recueillis, la prestation acquise pendant le mariage par le demandeur est de 7'237 fr. 85 tandis que celle acquise par la demanderesse est de 1'131 fr. 90 (882 fr. 20 + 249 fr. 67), les intérêts ayant déjà été calculés par les institutions de prévoyance défenderesses. Ainsi, le demandeur doit à son ex-épouse le montant de 3'618 fr. 90 (7'237 fr. 85 : 2) et celle-ci lui doit le montant de 565 fr. 95 (1'131 fr. 90 : 2), de sorte que c’est le demandeur qui doit à son ex-épouse la somme de 3'052 fr. 95.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A/798/2010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