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ATAS/725/2020 vom 2. September 2020</w:t>
      </w:r>
    </w:p>
    <w:p>
      <w:r>
        <w:t>GE Cour de justice, 2020-09-02, FR</w:t>
      </w:r>
    </w:p>
    <w:p>
      <w:r>
        <w:rPr>
          <w:b/>
        </w:rPr>
        <w:t xml:space="preserve">Quelle: </w:t>
      </w:r>
      <w:r>
        <w:t>https://mcp.opencaselaw.ch/entscheid/ge_gerichte_ATAS_725_2020</w:t>
      </w:r>
    </w:p>
    <w:p>
      <w:r>
        <w:t>FR: GE_GERICHTE ATAS/725/2020 du 2 septembre 2020</w:t>
      </w:r>
    </w:p>
    <w:p>
      <w:r>
        <w:t>IT: GE_GERICHTE ATAS/725/2020 del 2 settembre 2020</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Conformément à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b. En l’espèce, bien que le recourant ait quitté le canton de Genève le 1er janvier 2019, il y était encore domicilié lorsqu’il a déposé son recours, le 12 décembre 2018. Partant, la chambre de céans est compétente à raison du lieu et de la matière pour juger du cas d’espèce.</w:t>
      </w:r>
    </w:p>
    <w:p>
      <w:r>
        <w:rPr>
          <w:b/>
        </w:rPr>
        <w:t>E. 2</w:t>
      </w:r>
    </w:p>
    <w:p>
      <w:r>
        <w:t>Interjeté dans la forme et le délai prévus par la loi, le recours est recevable (art. 60 al. 1 LPGA ; art. 89B de la loi sur la procédure administrative du 12 septembre 1985 – LPA ; RS/GE E 5 10).</w:t>
      </w:r>
    </w:p>
    <w:p>
      <w:r>
        <w:rPr>
          <w:b/>
        </w:rPr>
        <w:t>E. 3</w:t>
      </w:r>
    </w:p>
    <w:p>
      <w:r>
        <w:t>Le litige porte sur le bien-fondé du refus de prise en charge par l’intimée des suites de l’événement du 2 juin 2017.</w:t>
      </w:r>
    </w:p>
    <w:p>
      <w:r>
        <w:rPr>
          <w:b/>
        </w:rPr>
        <w:t>E. 4</w:t>
      </w:r>
    </w:p>
    <w:p>
      <w:r>
        <w:t>Les modifications introduites par la novelle du 25 septembre 2015, entrée en vigueur le 1er janvier 2017 et modifiant diverses dispositions de la LAA, sont applicables au cas d’espèce, vu la date de l’évènement annoncé (cf. al. 1 des dispositions transitoires relatives à la modification du 25 septembre 2015).</w:t>
      </w:r>
    </w:p>
    <w:p>
      <w:r>
        <w:rPr>
          <w:b/>
        </w:rPr>
        <w:t>E. 5</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w:t>
      </w:r>
    </w:p>
    <w:p>
      <w:r>
        <w:t>- 14/22-</w:t>
      </w:r>
    </w:p>
    <w:p>
      <w:r>
        <w:t>A/4359/2018 à une sollicitation du corps, en particulier des membres, qui est physiologiquement plus élevée que la normale et dépasse ce qui est normalement maîtrisé du point de vue psychologique (ATF 139 V 327 consid. 3.3.1).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La notion de cause extérieure a été admise, entre autres, s’agissant d’un faux pas lors d’une partie de volley-ball, provoquant un pincement au genou gauche ou encore d’une entorse d'un ligament de la cheville gauche, après un mouvement de rotation durant une partie de hockey en salle (arrêts du Tribunal fédéral des assurances U 92/00 du 27 juin 2001 et U 287/00 du 22 février 2002).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 pivoter, de s'étirer, de tirer la balle, de sauter lors de têtes, etc. Ces mouvements sollicitent le corps entier d'une manière variée. Même pour un joueur entraîné, de tels mouvements ne constituent pas des gestes quotidiens comme le serait le fait de se déplacer dans une pièce (arrêts du Tribunal fédéral des assurances U 469/06 du 26 juillet 2007 consid. 5.1; U 71/07 du 15 juin 2007 consid. 6.2; U 611/06 du 12 mars 2007 consid. 5.1). Selon la jurisprudence, le critère du facteur extérieur extraordinaire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rPr>
          <w:b/>
        </w:rPr>
        <w:t>E. 6</w:t>
      </w:r>
    </w:p>
    <w:p>
      <w:r>
        <w:t>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t>- 16/22-</w:t>
      </w:r>
    </w:p>
    <w:p>
      <w:r>
        <w:t>A/4359/2018 d.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7</w:t>
      </w:r>
    </w:p>
    <w:p>
      <w:r>
        <w:t>Selon l’art. 6 al. 2 LAA, dans sa nouvelle teneur entrée en vigueur le 1er janvier 2017,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 les lésions du tympan (let. h). La liste des lésions énumérées par l’art. 6 al. 2 LAA dans sa nouvelle teneur est identique à celle auparavant contenue dans l’art. 9 al. 2 aOLAA. Le législateur a établi une présomption réfragable de prise en charge des lésions corporelles listées à l’art. 6 al. 2 LAA par l’assureur- accidents, ce dernier ayant le fardeau de la preuve d’une éventuelle libération (Markus HÜSLER, Erste UVG-Revision : wichtigste Änderungen und mögliche Probleme bei der Umsetzung, in SZS/RSAS 2017, pp. 26 ss). Pour réfuter cette présomption, l’assureur-accidents doit prouver que l’atteinte à la santé est due, de manière prépondérante, à l’usure ou à une maladie. Le critère du facteur extérieur est explicitement supprimé (Message additionnel du Conseil fédéral du 19 septembre 2014 relatif à la modification de la loi fédérale sur l’assurance-accidents, pp. 7702-7703). La présomption légale du droit aux prestations en cas de diagnostic figurant dans la liste de l’art. 6 al. 2 LAA ne peut être renversée par l’assureur-accidents que s’il démontre au degré de la vraisemblance prépondérante que l’atteinte corporelle est due de manière prépondérante à l'usure ou à une maladie. La notion de lésions corporelles qui sont dues de manière prépondérante à l’usure ou à la maladie au sens de l’art. 6 al. 2 LAA doit être comprise comme étant dues à plus de 50% à l’usure ou à la maladie. S’il est établi au degré la vraisemblance prépondérante que, parmi les causes concurrentes des lésions corporelles énumérées à l’art. 6 al. 2 LAA, l’état dégénératif ou maladif est prépondérant (à plus de 50 %), l’assureur n’intervient pas (ou plus) bien que l’accident soit (encore) en partie à l’origine de l’atteinte à la santé (ATAS/747/2019 du 22 août 2019).</w:t>
      </w:r>
    </w:p>
    <w:p>
      <w:r>
        <w:rPr>
          <w:b/>
        </w:rPr>
        <w:t>E. 8</w:t>
      </w:r>
    </w:p>
    <w:p>
      <w:r>
        <w:t>a. Selon le principe de libre appréciation des preuves, pleinement valable en procédure judiciaire de recours dans le domaine des assurances sociales (cf. art. 61 let. c LPGA), le juge n'est pas lié par des règles formelles, mais doit examiner de</w:t>
      </w:r>
    </w:p>
    <w:p>
      <w:r>
        <w:t>- 17/22-</w:t>
      </w:r>
    </w:p>
    <w:p>
      <w:r>
        <w:t>A/4359/2018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- 18/22-</w:t>
      </w:r>
    </w:p>
    <w:p>
      <w:r>
        <w:t>A/4359/2018 violation du principe mentionné (arrêt du Tribunal fédéral 9C/973/2011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rPr>
          <w:b/>
        </w:rPr>
        <w:t>E. 10</w:t>
      </w:r>
    </w:p>
    <w:p>
      <w:r>
        <w:t>En l’espèce, l’événement dont le recourant a été victime le 2 juin 2017 doit être qualifié d’accident au sens de l’art. 6 al. 1 LAA. Il s’est en effet blessé au genou alors qu’il courait en jouant au football. Plus précisément, il a subi une torsion du genou droit lors d’un brusque changement de direction avant de chuter. Le traumatisme du genou est ainsi survenu à l’occasion d’un mouvement soudain et violent du corps, c’est-à-dire d’un événement objectivement identifiable, dans le cadre d’un sport impliquant un risque accru. Partant, la condition du facteur extérieur extraordinaire est donnée, tout comme les autres conditions fixées par l’art. 4 LPGA.</w:t>
      </w:r>
    </w:p>
    <w:p>
      <w:r>
        <w:rPr>
          <w:b/>
        </w:rPr>
        <w:t>E. 11</w:t>
      </w:r>
    </w:p>
    <w:p>
      <w:r>
        <w:t>a. Par conséquent, il convient d’examiner si les lésions méniscales ayant nécessité l’opération du 14 septembre 2017 sont en relation de causalité avec l'accident du 2 juin 2017. Pour répondre à cette question, il convient d’examiner la valeur probante de l’expertise du Prof. H______.</w:t>
      </w:r>
    </w:p>
    <w:p>
      <w:r>
        <w:t>- 19/22-</w:t>
      </w:r>
    </w:p>
    <w:p>
      <w:r>
        <w:t>A/4359/2018 b. Son rapport est complet et détaillé. Il remplit a priori les exigences fixées par la jurisprudence en matière de valeur probante des rapports médicaux. L’intimée est toutefois d’un avis contraire. c. Elle a fait valoir que l'assuré n’avait jamais rapporté que son pied droit était resté « plaqué au sol sans tourner », comme l’avait retenu l’expert, mais uniquement qu'il avait chuté, respectivement qu'il avait perdu l'équilibre et qu'il était tombé. Il y avait lieu, conformément à la jurisprudence, de se fonder uniquement sur les premières déclarations. Si toutes les versions de l’accident ne sont pas similaires, force est de constater qu’elle ne se contredisent pas et qu’elles contiennent presque toutes un élément indiquant une torsion, notamment celle du 12 juin 2017, qui mentionnait une « entorse ». Dans son rapport du 6 juin 2017, la Dresse B______ a mentionné une chute sur le genou droit, selon un mécanisme peu clair, ce qui n’exclut pas une torsion. L’expert a tenu compte du fait que les versions de l'accident divergeaient et a d’ailleurs fondé ses conclusions sur la causalité sur « les descriptions » de l'accident du 3 juin 2017 et pas seulement sur la description de l’événement que lui avait faite le recourant. Il en résulte que la critique de l’intimée sur la version de l’événement retenue par l’expert n’est pas fondée. d. Contrairement à ce que soutient l’intimée, le diagnostic du Prof. H______ ne se fonde pas uniquement sur les déclarations du recourant faites au moment de l'expertise et sur le fait que les douleurs sont intervenues après l’événement. L’expert a en effet précisé que si les versions de l'accident divergeaient, la chute était bien réelle et que si la radiographie faite le lendemain de l’événement ne montrait pas de traumatisme osseux, elle mettait en évidence un épanchement. De plus, l'imagerie IRM du 7 juin 2017 mettait en évidence une déchirure radiaire en avant du hiatus du ménisque externe ainsi que des signes de déchirures horizontales touchant les cornes antérieures et postérieures et confirmait la présence d'un épanchement et pas de signe d'arthrose. L’expert a également relevé que le Dr D______, qui avait pratiqué une suture de la déchirure radiaire du ménisque externe du genou droit, avait considéré qu’il s'agissait d'une lésion traumatique et que l'arthroscopie ne montrait aucun signe articulaire de dégénérescence au niveau des revêtements cartilagineux. Enfin, lors de son examen clinique du 23 janvier 2020, le genou droit n’avait pas révélé de pathologie dégénérative, d’instabilité, d’amyotrophie, ni d’épanchement. Dans ces circonstances, l’on ne peut retenir comme l’a fait l’intimée, qu’il n’y avait pas le moindre élément parlant en faveur d'un événement traumatique. Il faut également rappeler que selon la littérature citée par l’expert, l’IRM permet en principe de diagnostiquer les lésions méniscales, mais que ce diagnostic n’est pas toujours aisé en présence d’un ménisque discoïde.</w:t>
      </w:r>
    </w:p>
    <w:p>
      <w:r>
        <w:t>- 20/22-</w:t>
      </w:r>
    </w:p>
    <w:p>
      <w:r>
        <w:t>A/4359/2018 e. L’intimée a encore fait valoir que « la construction » de l'expert selon laquelle la pratique du football favoriserait un certain type de lésion n'était pas pertinente. Les références faites par l’expert à la littérature et aux statistiques sur les atteintes du ménisque en pratiquant le football apparaissent au contraire comme un élément qui était utile et nécessaire pour poser un diagnostic dans le cas d’espèce, ce qui n’était pas évident, dès lors que le recourant avait déjà subi une intervention chirurgicale du genou droit en 2013 et que l’IRM n’était pas déterminante. L’expert n’a pas posé son diagnostic en se fondant uniquement sur la littérature médicale, mais en prenant également en compte les autres éléments du dossier, dont l’imagerie, l’anamnèse et le status effectué. Il a motivé ses conclusions de façon convaincante et ne s’est pas limité à un raisonnement du type post hoc ergo propter hoc. f. Le Prof. H______ a expliqué pour quels motifs il n’était pas d’accord avec les analyses des Drs G______ et F______ de façon détaillée et convaincante. Le bref avis du Dr G______ du 23 mars 2020 ne remet pas sérieusement en cause les conclusions du Prof. H______. Cet avis ne remplit pas les conditions pour se voir reconnaître une pleine valeur probante et ne met en évidence aucun élément qui aurait été ignoré par l’expert pouvant faire douter des conclusions de celui-ci.</w:t>
      </w:r>
    </w:p>
    <w:p>
      <w:r>
        <w:rPr>
          <w:b/>
        </w:rPr>
        <w:t>E. 12</w:t>
      </w:r>
    </w:p>
    <w:p>
      <w:r>
        <w:t>Sur la base de l’expertise du Prof. H______, qui doit se voir reconnaître une pleine valeur probante, il convient de retenir que les traitements apportés au recourant à la suite de l’événement du 2 juin 2017, et singulièrement les frais de l’opération du 14 septembre 2017, sont en lien de causalité naturelle et adéquate avec celui-ci. Partant, c’est à tort que l’intimée a refusé de les prendre en charge.</w:t>
      </w:r>
    </w:p>
    <w:p>
      <w:r>
        <w:rPr>
          <w:b/>
        </w:rPr>
        <w:t>E. 13</w:t>
      </w:r>
    </w:p>
    <w:p>
      <w:r>
        <w:t>Au vu de ce qui précède, le recours sera admis et la décision sur opposition du 8 novembre 2018 annulée.</w:t>
      </w:r>
    </w:p>
    <w:p>
      <w:r>
        <w:rPr>
          <w:b/>
        </w:rPr>
        <w:t>E. 14</w:t>
      </w:r>
    </w:p>
    <w:p>
      <w:r>
        <w:t>a. Selon la jurisprudence, les frais d'expertise font partie des frais de procédure (cf. SVR 2013 IV n° 1 p. 1 [9C_13/2012] consid. 3; consid. 3 non publié aux ATF 139 V 225 de l'arrêt 8C_984/2012 du 6 juin 2013). 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Dans un arrêt ATF 137 V 210, le Tribunal fédéral a considéré que lorsque le Tribunal cantonal des assurances (respectivement le Tribunal administratif fédéral) constate qu'une instruction est nécessaire, il doit en principe mettre lui-même une expertise en oeuvre (consid. 4.4.1.3 et 4.4.1.4). Dans ce cas, les coûts de l'expertise ordonnée par le tribunal auprès du COMAI peuvent être mis à la charge de l'assurance-invalidité (consid. 4.4.2). Dans la mesure où, en principe, les mêmes</w:t>
      </w:r>
    </w:p>
    <w:p>
      <w:r>
        <w:t>- 21/22-</w:t>
      </w:r>
    </w:p>
    <w:p>
      <w:r>
        <w:t>A/4359/2018 règles de procédure, à savoir les art. 43 à 49 LPGA, sont applicables à l'instruction de la demande aussi bien en matière d'assurance-invalidité que dans le domaine de l'assurance-accidents, les principes jurisprudentiels régissant la prise en charge des frais d'expertise du COMAI par les offices de l'assurance-invalidité valent également par analogie lorsque le tribunal cantonal juge un complément d'instruction nécessaire et ordonne la mise en oeuvre d'une expertise au lieu de renvoyer la cause à l'assureur-accidents. Les frais d'expertise peuvent ainsi être mis à la charge de l'assureur-accidents lorsque les résultats de l'instruction mise en oeuvre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p. 226).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oeuvre une expertise judiciaire.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p. 502 et les références). b. En l’espèce, il se justifie de mettre les frais d’expertise à la charge de l’intimée, celle-ci ayant statué sur une expertise qui ne remplissait pas les critères permettant de lui reconnaître une pleine valeur probante.</w:t>
      </w:r>
    </w:p>
    <w:p>
      <w:r>
        <w:rPr>
          <w:b/>
        </w:rPr>
        <w:t>E. 15</w:t>
      </w:r>
    </w:p>
    <w:p>
      <w:r>
        <w:t>Le recourant obtenant gain de cause, une indemnité de CHF 2'500.- lui sera accordée à titre de participation à ses frais et dépens (art. 61 let. g LPGA; art. 6 du règlement sur les frais, émoluments et indemnités en matière administrative du 30 juillet 1986 [RFPA - E 5 10.03]).</w:t>
      </w:r>
    </w:p>
    <w:p>
      <w:r>
        <w:rPr>
          <w:b/>
        </w:rPr>
        <w:t>E. 16</w:t>
      </w:r>
    </w:p>
    <w:p>
      <w:r>
        <w:t>Pour le surplus, la procédure est gratuite (art. 61 let. a LPGA).</w:t>
      </w:r>
    </w:p>
    <w:p>
      <w:r>
        <w:t>- 22/22-</w:t>
      </w:r>
    </w:p>
    <w:p>
      <w:r>
        <w:t>A/4359/2018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