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ATAS/725/2019 vom 20. August 2019</w:t>
      </w:r>
    </w:p>
    <w:p>
      <w:r>
        <w:t>GE Cour de justice, 2019-08-20, FR</w:t>
      </w:r>
    </w:p>
    <w:p>
      <w:r>
        <w:rPr>
          <w:b/>
        </w:rPr>
        <w:t xml:space="preserve">Quelle: </w:t>
      </w:r>
      <w:r>
        <w:t>https://mcp.opencaselaw.ch/entscheid/ge_gerichte_ATAS_725_2019</w:t>
      </w:r>
    </w:p>
    <w:p>
      <w:r>
        <w:t>FR: GE_GERICHTE ATAS/725/2019 du 20 août 2019</w:t>
      </w:r>
    </w:p>
    <w:p>
      <w:r>
        <w:t>IT: GE_GERICHTE ATAS/725/2019 del 20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a. Les intéressés peuvent déférer les décisions et les décisions sur opposition des organes d’exécution au tribunal cantonal des assurances dans les 30 jours suivant leur notification (art. 60 al. 1 LPGA). Les organes d’exécution et l’OFAS sont tenus de transmettre immédiatement à l’autorité compétente (tribunal des assurances, caisse de compensation, office AI ou organe PC) toute opposition ou tout recours qui leur a été adressé par erreur et d’en informer simultanément l’opposant ou le recourant. Ils enregistrent la date de réception de l’acte et le transmettent à l’organe compétent (art. 30 et 58 al. 3 LPGA, art. 67 al. 2 et 3 RAI ; circulaire sur le contentieux dans l’AVS, l’AI, les APG et les PC, nos 2027 et 2039).</w:t>
      </w:r>
    </w:p>
    <w:p>
      <w:r>
        <w:t>A/4547/2016 - 8/18 - b. En l’espèce, par décision du 23 février 2016, l’OAI a supprimé le droit de l’assuré à la rente entière d’invalidité qui lui avait été octroyée par décision du 23 avril 2008 à compter du 15 avril 2004. Le Dr E______ a adressé à l’OAI un courrier le 29 février 2016, se référant expressément à ladite décision. L’OAI ne l’a toutefois pas transmis à l’autorité compétente, en l’occurrence la chambre de céans. Il fait à cet égard valoir, dans ses écritures du 17 janvier 2019, que ce courrier ne pouvait pas être considéré comme un recours, ce même si la décision n’était alors pas entrée en force. c. Or, seule la chambre de céans est compétente pour déterminer si un courrier vaut ou non recours.</w:t>
      </w:r>
    </w:p>
    <w:p>
      <w:r>
        <w:rPr>
          <w:b/>
        </w:rPr>
        <w:t>E. 4</w:t>
      </w:r>
    </w:p>
    <w:p>
      <w:r>
        <w:t>Selon l’art. 89B al. 1 de la loi sur la procédure administrative du 12 septembre 1985 (LPA-GE -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le recours sera écarté (art. 89B al. 3 LPA). En l’occurrence, dans son courrier du 29 février 2016, le Dr E______ déclarait qu’il agissait en son nom et en celui de son patient. L’assuré n’a toutefois pu être invité à produire une procuration en faveur de celui-ci. Il a en revanche expressément confirmé, le 29 novembre 2018, que le Dr E______ avait agi en son nom. L’assuré a été privé de la possibilité de compléter, le cas échéant, les écritures du médecin. Qui plus est, il a cru qu’il n’avait plus la possibilité de contester la décision du 23 février 2016, l’OAI l’ayant informé le 23 février 2016, que la décision du 23 février 2016 (sic !) était entrée en force. Il convient de considérer, au vu de ce qui précède et de l’interprétation plutôt souple que font les juridictions administratives en général, et la chambre de céans en particulier, des conditions formelles de recevabilité (ATA/568/2013 du 28 août 2013 consid. 3 et jurisprudence citée), que le courrier du Dr E______ contient un exposé des faits, des motifs et des conclusions suffisants, de sorte que l’acte satisfait aux exigences minimales de contenu prescrites par l’art. 61 let. b LPGA, reprises à l’art. 89B LPA.</w:t>
      </w:r>
    </w:p>
    <w:p>
      <w:r>
        <w:rPr>
          <w:b/>
        </w:rPr>
        <w:t>E. 5</w:t>
      </w:r>
    </w:p>
    <w:p>
      <w:r>
        <w:t>a. Reste à déterminer si ce courrier constituait un recours valablement interjeté contre la décision du 23 février 2016. b. Il y a lieu de constater que le Dr E______ exprime clairement la volonté de ne pas accepter la décision du 23 février 2016, en tant qu’elle supprime la rente sans qu’il ait été prévu de mesures de réadaptation professionnelle.</w:t>
      </w:r>
    </w:p>
    <w:p>
      <w:r>
        <w:t>A/4547/2016 - 9/18 - Interrogé par la chambre de céans, le Dr E______ a confirmé le 31 août 2018 « qu’en février 2016, j’entendais agir, par l’intermédiaire de mon courrier, pour que l’assuré puisse obtenir une aide à la réinsertion professionnelle ». c. L’OAI souligne que ce médecin n’entendait précisément pas contester la suppression de la rente et relève que la décision du 23 février 2016 ne statuait pas sur les mesures de réinsertion professionnelles.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 celui-ci constitue uniquement l'objet du recours (arrêt du Tribunal fédéral 8C_819/2017 du 25 septembre 2018). Si un recourant invoque exclusivement des griefs en lien avec une indemnité de départ, alors que l’objet du litige devant l’autorité précédente était uniquement le bien-fondé de la résiliation des rapports de travail, son recours sera déclaré irrecevable (arrêt du Tribunal fédéral 8C_809/2010 du 18 février 2011).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en revanche se réduire dans la mesure où certains éléments de la décision attaquée ne sont plus contestés devant l’autorité de recours. Force est en l’espèce de constater que la décision du 23 février 2016 traite non seulement de la suppression de la rente, mais également du refus de mesures de réadaptation. Il y est en effet expressément mentionné que « des mesures de réadaptation ne sont ni nécessaires, ni adéquates », étant rappelé que le Dr E______ s’est opposé à une suppression de rente immédiate sans mesure de réinsertion. d. L’OAI cite un arrêt rendu par le Tribunal fédéral le 21 mars 2018 (ATF 9C_776/2017), dans lequel celui-ci a reproché à la chambre de céans d’avoir assimilé un courrier à un recours (ATAS/864/2017). Dans cette affaire, traitée par la chambre de céans d’abord par arrêt incident du 8 juin 2017 (ATAS/470/2017), puis par arrêt au fond du 5 octobre 2017</w:t>
      </w:r>
    </w:p>
    <w:p>
      <w:r>
        <w:t>A/4547/2016 - 10/18 - (ATAS/864/2017), le recourant avait déposé auprès de l’OAI une nouvelle demande de prestations, ce avant même d’attendre l’expiration du délai de recours de trente jours de la décision rejetant sa demande précédente. La chambre de céans avait alors considéré qu’il convenait d’interpréter cette nouvelle demande, déposée pendant le délai de recours, comme une contestation de cette décision. Aussi avait- elle imparti un nouveau délai aux parties pour se déterminer sur le bien-fondé de la décision considérée comme étant la décision litigieuse. Dans son arrêt du 21 mars 2018, le Tribunal fédéral a toutefois jugé que cette décision était entrée en force faute d’avoir été attaquée. Il a en effet constaté que « l’assuré n'a pas formellement déclaré recourir contre la décision du 21 mai 2015, à teneur de laquelle sa demande de prestations déposée le 20 janvier 2012 était rejetée. En outre, l'assuré n'a pas soulevé d'objections au refus de la Chambre des assurances de considérer que sa demande du 10 juin 2015 ne constituait pas un recours contre la décision du 21 mai 2015 (cf. lettre du greffe du 16 juillet 2015); il n'a au demeurant ni requis ni obtenu la remise d'un accusé de réception au dépôt d'un recours de la part de l'autorité judiciaire, et ne s'est pas non plus enquis de l'état d'avancement d'une éventuelle procédure de recours consécutive à son écriture du 10 juin 2015. On peut donc en déduire qu'il n'avait pas l'intention de recourir contre la décision du 21 mai 2015, mais qu'il entendait à cette occasion présenter une nouvelle demande au sens des art. 17 LPGA et 87 RAI ». La chambre de céans est d’avis que cette jurisprudence ne saurait s’appliquer en l’espèce, dès lors que l’assuré a, - au contraire du recourant dans le cas sus-cité qui avait déposé une nouvelle demande -, contesté le projet de décision le 3 février 2016. Il n’était d’accord ni avec la suppression de la rente, ni avec le fait qu’aucune mesure de réadaptation n’était prévue. Il y a également lieu de constater que par courrier du 12 juin 2018, l’assuré s’est montré surpris de la réponse de l’OAI du</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w:t>
      </w:r>
    </w:p>
    <w:p>
      <w:r>
        <w:t>A/4547/2016 - 12/18 -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9</w:t>
      </w:r>
    </w:p>
    <w:p>
      <w:r>
        <w:t>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w:t>
      </w:r>
    </w:p>
    <w:p>
      <w:r>
        <w:t>A/4547/2016 - 13/18 -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w:t>
      </w:r>
    </w:p>
    <w:p>
      <w:r>
        <w:t>A/4547/2016 - 14/18 -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la rente initiale d’invalidité a été accordée par décision du 23 avril 2008, sur la base du rapport du Dr B______ et de l’expertise du Dr C______. Une révision du dossier a été initiée en 2011, à l’issue de laquelle le droit à la rente a été maintenu, sans qu’il y ait eu instruction médicale.</w:t>
      </w:r>
    </w:p>
    <w:p>
      <w:r>
        <w:t>A/4547/2016 - 15/18 - Par conséquent, il convient de comparer les circonstances présentes lors de la décision du 23 avril 2008 et lors de celle du 23 février 2016 et d’examiner si elles se sont notablement modifiées.</w:t>
      </w:r>
    </w:p>
    <w:p>
      <w:r>
        <w:rPr>
          <w:b/>
        </w:rPr>
        <w:t>E. 12</w:t>
      </w:r>
    </w:p>
    <w:p>
      <w:r>
        <w:t>a. Dans son rapport du 27 octobre 2004, le Dr B______ a retenu le diagnostic d’état dépressif sur un trouble de la personnalité schizotypique versus un trouble schizoaffectif, voire un trouble bipolaire mixte. Constatant toutefois qu’en avril 2004, l’assuré ne présentait plus de symptomatologie psychiatrique à proprement dit et que seuls certains traits de personnalité demeuraient, mais au second plan, il a posé celui de trouble dépressif récurrent actuellement en rémission. Il a évalué l’incapacité de travail à 100% dès le 15 avril 2003. L’expert C______ a, le 18 octobre 2007, déclaré qu’il n’avait pas pu mettre en évidence de trouble psychiatrique aigu, mais a relevé de possibles limitations psychiatriques fonctionnelles sous forme notamment d’une pensée confuse qui pourrait entraver la capacité d’adaptation du sujet. Il a conclu qu’il ne lui était pas possible de répondre aux questions relatives à la capacité de travail, à l’évolution du degré d’invalidité, à une éventuelle diminution de rendement, ou à la capacité de l’assuré de s’adapter à son environnement professionnel. b. S’agissant de la situation prévalant en février 2016, il y a lieu de relever que selon l’expert mandaté par l’OAI, le Dr D______, « on se trouve donc dans la réalité psychiatrique au même point qu’en 2004. Il n’y a pas de pathologie psychiatrique majeure et de ce fait pas d’incapacité de travail de principe. D’une manière très indirecte, nos constats rejoignent ce que le psychiatre de l’époque et aussi son médecin traitant de l’époque ont déposé ». Le Dr D______ n’a finalement retenu aucun diagnostic avec influence sur la capacité de travail, de sorte qu’il a évalué la capacité résiduelle de travail, d’un point de vue médico-théorique, à au moins 80%. c. Force est de constater, au vu de ce qui précède, que les circonstances sont demeurées inchangées. Aussi le Dr D______ a-t-il apprécié différemment la capacité de travail de l’assuré sur la base des mêmes constatations. Or, il n'y a pas matière à révision lorsque les circonstances sont restées les mêmes et que le motif de la suppression ou de la diminution de la rente réside uniquement dans une nouvelle appréciation du cas (ATF 112 V 371 consid. 2b; ATF 112 V 387 consid. 1b).</w:t>
      </w:r>
    </w:p>
    <w:p>
      <w:r>
        <w:rPr>
          <w:b/>
        </w:rPr>
        <w:t>E. 13</w:t>
      </w:r>
    </w:p>
    <w:p>
      <w:r>
        <w:t>a. Reste à examiner si la décision de rente peut encore être modifiée en application de l'art. 53 al. 2 LPGA, visant la reconsidération d'une décision administrative entrée en force. b. D’après cette disposition, l'assureur peut revenir sur les décisions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la situation</w:t>
      </w:r>
    </w:p>
    <w:p>
      <w:r>
        <w:t>A/4547/2016 - 16/18 - juridique existant au moment où cette décision est rendue, compte tenu de la pratique en vigueur à l'époque (ATF 125 V 383 consid. 3). Par le biais de la reconsidération, on corrigera une application initiale erronée du droit, de même qu'une constatation erronée résultant de l'appréciation des faits (ATF 117 V 17 consid. 2c, 115 V 314 consid. 4a/cc). Un changement de pratique ou de jurisprudence ne saurait en principe justifier une reconsidération. Pour des motifs de sécurité juridique, l'irrégularité doit être manifeste,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De même, s'il apparaît ultérieurement, à la suite d'un examen plus méticuleux de la situation, que l'instruction de l'appréciation médicale du cas avait été faite d'une manière qui peut aujourd'hui sembler critiquable, cela ne rend pas pour autant la décision prise sur cette base comme étant manifestement erronée au regard de la situation de fait et de droit de l'époque (arrêt du Tribunal fédéral 9C_659/2009 du 12 février 2010, consid. 2.2). c. En l'espèce, il est constant que la décision du 23 février 2016 n'a pas fait l'objet d'un contrôle judiciaire et qu'il y a un intérêt à sa rectification, dans la mesure où, si la reconsidération ne devait pas être admise, le paiement de la rente entière d'invalidité dont bénéficiait l’assuré devrait se poursuivre. Dans son rapport du 27 octobre 2004, le Dr B______ n’avait retenu qu’un état dépressif récurrent à ce moment-là en rémission, mais avait conclu à une incapacité de travail de 100% depuis avril 2003. Le Dr C______ quant à lui, dans son expertise du 18 octobre 2007, avait déclaré qu’il ne lui était pas possible d’évaluer la capacité de travail. On pourrait dans ces conditions se demander s’il n’aurait pas appartenu à l’OAI de procéder à d’autres mesures d’instruction. Il y a à cet égard lieu de constater que le rapport du Dr B______ date de 2004, alors que celui de l’expert de 2007. Il aurait ainsi été utile notamment d’interroger à nouveau le Dr B______ sur l’évolution de l’état dépressif dont souffrait l’assuré. On ne saurait cependant considérer que l’instruction, ayant amené l’OAI à accorder à l’assuré une rente entière en 2004 et à confirmer en 2011 le degré d’invalidité de 100% lors de la révision de son droit, apparaisse manifestement lacunaire (comp. arrêt 9C_575/2007 du 18 octobre 2007 consid. 3.3). Il importe en effet de rappeler que le diagnostic posé par le Dr B______ était celui de trouble de la personnalité schizotypique versus un trouble schizoaffectif, voire</w:t>
      </w:r>
    </w:p>
    <w:p>
      <w:r>
        <w:t>A/4547/2016 - 17/18 - de trouble bipolaire mixte, et que le Dr C______ avait relevé de possibles limitations psychiatriques fonctionnelles sous forme notamment d’une pensée confuse qui pourrait entraver la capacité d’adaptation du sujet. Force est de constater que seule l'évaluation de la capacité de travail de l'assuré en 2004 pourrait, éventuellement, être mise en doute. Or, ainsi que le Tribunal fédéral l'a précisé (arrêt du Tribunal fédéral 9C_860/2008 du 19 février 2009; ATF 117 V</w:t>
      </w:r>
    </w:p>
    <w:p>
      <w:r>
        <w:rPr>
          <w:b/>
        </w:rPr>
        <w:t>E. 17</w:t>
      </w:r>
    </w:p>
    <w:p>
      <w:r>
        <w:t>consid. 2c), une erreur sur ce point, - même si elle était avérée -, qui relève de l'appréciation, ne peut quoi qu’il en soit justifier la reconsidération d'une décision, à moins qu'elle ne repose sur une constatation déficiente des faits (ATF 117 précité, 115 V 314 consid. 4a/cc). Il est vrai que l’OAI n'a alors pas examiné l'exigibilité dans une activité adaptée et a déterminé le taux d'invalidité sur une simple évaluation médico-théorique de la capacité de travail, ce qui n'est pas conforme à la loi (ATF 114 V 281 consid. 1c), cela ne permettrait pas encore de qualifier la décision initiale du 23 avril 2008 de manifestement erronée (comp. arrêt 9C_221/2008 du 14 janvier 2009 consid. 3.2). 14. Au vu de ce qui précède, le recours sera admis et la décision du 23 février 2016 annulée, tant les conditions de la révision que de la reconsidération n’étant pas réunies.</w:t>
      </w:r>
    </w:p>
    <w:p>
      <w:r>
        <w:t>A/4547/2016 - 18/18 -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