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ATAS/725/2018 vom 22. August 2018</w:t>
      </w:r>
    </w:p>
    <w:p>
      <w:r>
        <w:t>GE Cour de justice, 2018-08-22, FR</w:t>
      </w:r>
    </w:p>
    <w:p>
      <w:r>
        <w:rPr>
          <w:b/>
        </w:rPr>
        <w:t xml:space="preserve">Quelle: </w:t>
      </w:r>
      <w:r>
        <w:t>https://mcp.opencaselaw.ch/entscheid/ge_gerichte_ATAS_725_2018</w:t>
      </w:r>
    </w:p>
    <w:p>
      <w:r>
        <w:t>FR: GE_GERICHTE ATAS/725/2018 du 22 août 2018</w:t>
      </w:r>
    </w:p>
    <w:p>
      <w:r>
        <w:t>IT: GE_GERICHTE ATAS/725/2018 del 22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la question de savoir si l’état de santé de la recourante s’est modifié depuis le 6 décembre 2006 au point de lui ouvrir droit à des prestations de l’assurance-invalidité.</w:t>
      </w:r>
    </w:p>
    <w:p>
      <w:r>
        <w:rPr>
          <w:b/>
        </w:rPr>
        <w:t>E. 5</w:t>
      </w:r>
    </w:p>
    <w:p>
      <w:r>
        <w:t>À titre liminaire, il convient de déterminer si la décision entreprise constitue une décision de non-entrée en matière ou s’il s’agit au contraire d’une décision rejetant sur le fond la demande de prestations, malgré la terminologie employée par l’intimé.</w:t>
      </w:r>
    </w:p>
    <w:p>
      <w:r>
        <w:rPr>
          <w:b/>
        </w:rPr>
        <w:t>E. 6</w:t>
      </w:r>
    </w:p>
    <w:p>
      <w:r>
        <w:t>a) Lorsqu’une demande de révision est déposée, celle-ci doit établir de façon plausible que l’invalidité, l’impotence ou l’étendue du besoin de soins découlant de l’invalidité de l’assuré s’est modifiée de manière à influencer ses droits (art. 87 al.2 du règlement du 17 janvier 1961 sur l’assurance-invalidité du 17 janvier 1961 [RAI - RS 831.201]).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consid. 2b, ATF 117 V 198 consid. 4b et les références). Lorsqu'elle est saisie d'une demande de révision, l'administration doit commencer par examiner si les allégations de l'assuré sont,</w:t>
      </w:r>
    </w:p>
    <w:p>
      <w:r>
        <w:t>A/1351/2018 - 8/14 -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consid.2b). b)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 87 al. 3 RAI et un examen des conditions de la révision au sens de l’art.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TFA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 einfache Abklärungshandlungen », arrêt du Tribunal administratif fédéral I 781/04 du 17 février 2005 consid. 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(arrêt du Tribunal administratif fédéral du I 41/06 du 25 août 2006 consid. 3.2), lorsqu’elle a sollicité l’avis de son médecin-conseil sans autres investigations (arrêt du Tribunal administratif fédéral I 522/03 du 4 mai 2004 consid. 3.2) ou encore lorsqu’elle a demandé directement au médecin traitant un rapport médical établi sur un formulaire (arrêt du Tribunal administratif fédéral I 781/04 du 17 février 2005 consid. 3).</w:t>
      </w:r>
    </w:p>
    <w:p>
      <w:r>
        <w:t>A/1351/2018 - 9/14 - L’élément déterminant ne réside pas tant dans la mise en œuvre ou non par l’administration de mesures d’instruction (simples), ni même dans le fait que l’OAI ait recueilli directement les avis en cause ou ait demandé à l’administré de produire les pièces idoines. Il faut bien plus se référer à l’intensité de l’examen auquel il est procédé, respectivement à la nature des observations retenues sur la base des éléments figurant au dossier ou recueillis dans le cas de l’instruction – limitée – à laquelle l’OAI a procédé (arrêt TA.2007.191 de la Cour des assurances sociales du Tribunal cantonal de Neuchâtel du 15 juin 2009 consid. 4b). À cet égard, lorsque l’OAI ou le médecin interpellé se borne à constater prima facie l’absence de modification, sans autre argumentation que la mise en évidence des éléments médicaux permettant d’y conclure – notamment par la simple énumération des diagnostics – son examen demeure dans les limites de celui de la seule plausibilité, impliquant la possibilité de rendre une décision de non-entrée en matière.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 (ATAS/1085/2013 du 6 novembre 2013 consid. 6b ; arrêt TA.2007.191 de la Cour des assurances sociales du Tribunal cantonal de Neuchâtel du 15 juin 2009 consid. 4b). Finalement, il faut garder à l’esprit que la procédure sommaire prévue par l’art. 87 al. 3 RAI ne doit pas être vidée de son sens. Le règlement instaure un système dans lequel une demande de révision présentée par l’assuré peut être écartée après un examen sommaire, ce qui ne signifie pas que la moindre analyse ou mesure d’instruction à laquelle aurait procédé l’administration revienne automatiquement à une entrée en matière implicite. En revanche, cette procédure simplifiée ne doit pas non plus être comprise par l’administration comme l’autorisant à écarter d’emblée et hâtivement toutes les demandes de révision présentées par les assurés au motif que la modification des circonstances n’a pas été rendue plausible. S’il n’est pas possible de tracer abstraitement une limite précise entre les deux situations, il convient d’examiner au cas par cas si l’examen – par l’OAI lui-même ou par les spécialistes interpellés dans le cadre des mesures d’instruction admissibles – de la plausibilité reste sommaire ou si, au contraire, il s’étend à des considérations plus fouillées en relation avec la modification des circonstances ou des effets de celle-ci sur la capacité de travail ou de gain (ATAS/1085/2013 du 6 novembre 2013 consid. 6b ; arrêt TA.2007.191 de la Cour des assurances sociales du Tribunal cantonal de Neuchâtel du 15 juin 2009 consid. 4b).</w:t>
      </w:r>
    </w:p>
    <w:p>
      <w:r>
        <w:t>A/1351/2018 - 10/14 -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(arrêt du Tribunal fédéral 9C_1012/2008 du 30 juin 2009 consid. 2).</w:t>
      </w:r>
    </w:p>
    <w:p>
      <w:r>
        <w:rPr>
          <w:b/>
        </w:rPr>
        <w:t>E. 7</w:t>
      </w:r>
    </w:p>
    <w:p>
      <w:r>
        <w:t>En l’occurrence, la recourante a déposé une nouvelle demande de prestations le</w:t>
      </w:r>
    </w:p>
    <w:p>
      <w:r>
        <w:rPr>
          <w:b/>
        </w:rPr>
        <w:t>E. 8</w:t>
      </w:r>
    </w:p>
    <w:p>
      <w:r>
        <w:t>Est réputée invalidité, l'incapacité de gain totale ou partielle présumée permanente ou de longue durée, résultant d'une infirmité congénitale, d'une maladie ou d'un</w:t>
      </w:r>
    </w:p>
    <w:p>
      <w:r>
        <w:t>A/1351/2018 - 11/14 -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9</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A/1351/2018 - 12/14 -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A/1351/2018 - 13/14 -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la recourante soutient que sa capacité de travail est nulle, se basant sur le rapport du 12 février 2018 du Dr K______. Quant à l’intimé, il considère que la capacité de travail de l’intéressée a toujours été entière dans toute activité de sorte qu’elle n’a droit à aucune prestation. Pour parvenir à cette conclusion, il se fonde sur les avis du SMR des 19 janvier et 9 mars 2018. En ce qui concerne le rapport du Dr K______, il contient une liste des antécédents médicaux de la recourante, ses plaintes et des conclusions relatives à l’incapacité de travail de l’intéressée. Outre le fait que ce rapport a été établi postérieurement au projet de décision, ce dont il faut tenir compte, force est de constater que le Dr K______ ne pose pas de diagnostics clairs ni ne précise en quoi ils influenceraient la capacité de travail de la recourante. La motivation de l’incapacité de travail retenue est brève et repose exclusivement sur une base subjective, soit les plaintes de la recourante. Aucun lien n’est fait avec les antécédents de typhlite et de diverticulites à l’origine des arrêts de travail de l’intéressée durant le premier semestre 2017 et qui constituent des atteintes nouvelles par rapport à 2006. Dès lors, force est de constater que ce rapport ne répond pas aux réquisits jurisprudentiels en matière de valeur probante. Quant aux avis du SMR, bien que brefs, ils sont cohérents avec les autres éléments médicaux figurant au dossier. Par rapport à 2006, la recourante a présenté de nouvelles atteintes à la santé, soit une typhlite en octobre 2016 et trois épisodes de diverticulites en 2017. Compte tenu des différents documents établis par les HUG en lien avec les hospitalisations de la recourante en 2016 et 2017, il apparaît que la typhlite et les diverticulites n’ont pas engendré d’arrêts de travail prolongés susceptibles d’altérer de manière durable la capacité de travail de la recourante, quelle que soit l’activité déployée. Par conséquent, par rapport à 2006, l’état de santé de la recourante ne s’est pas modifié de manière à influencer son droit aux prestations. Ainsi, c’est à bon droit que l’intimé n’a pas donné suite à la nouvelle demande de prestations, même s’il a mal intitulé la décision entreprise.</w:t>
      </w:r>
    </w:p>
    <w:p>
      <w:r>
        <w:rPr>
          <w:b/>
        </w:rPr>
        <w:t>E. 13</w:t>
      </w:r>
    </w:p>
    <w:p>
      <w:r>
        <w:t>Au vu de ce qui précède, le recours sera rejeté. La procédure n'étant pas gratuite (art. 69 al. 1bis LAI), il y a lieu de condamner la recourante au paiement d'un émolument de CHF 200.-.</w:t>
      </w:r>
    </w:p>
    <w:p>
      <w:r>
        <w:t>A/1351/2018 - 14/14 -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