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ATAS/724/2024 vom 24. September 2024</w:t>
      </w:r>
    </w:p>
    <w:p>
      <w:r>
        <w:t>GE Cour de justice, 2024-09-24, FR</w:t>
      </w:r>
    </w:p>
    <w:p>
      <w:r>
        <w:rPr>
          <w:b/>
        </w:rPr>
        <w:t xml:space="preserve">Quelle: </w:t>
      </w:r>
      <w:r>
        <w:t>https://mcp.opencaselaw.ch/entscheid/ge_gerichte_ATAS_724_2024</w:t>
      </w:r>
    </w:p>
    <w:p>
      <w:r>
        <w:t>FR: GE_GERICHTE ATAS/724/2024 du 24 septembre 2024</w:t>
      </w:r>
    </w:p>
    <w:p>
      <w:r>
        <w:t>IT: GE_GERICHTE ATAS/724/2024 del 24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 délai de recours est de trente jours (art. 56 LPGA ; art. 62 al. 1 de la loi sur la procédure administrative du 12 septembre 1985 [LPA - E 5 10]). Interjeté dans la forme et le délai prévus par la loi, le recours est recevable.</w:t>
      </w:r>
    </w:p>
    <w:p>
      <w:r>
        <w:t>A/584/2024 - 10/22 - 2.</w:t>
      </w:r>
    </w:p>
    <w:p>
      <w:r>
        <w:t>2.1 À teneur de l’art. 1 al. 1 LAI, les dispositions de la LPGA s’appliquent à l’assurance-invalidité, à moins que la loi n’y déroge expressément. 2.2 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dans sa décision du 16 janvier 2024, l’intimé a accordé à la recourante le droit à une rente d’invalidité entière pour la période limitée du 1er décembre 2021 au 31 janvier 2023, date à laquelle il a supprimé ladite prestation, au motif que le degré d’invalidité était insuffisant. Le litige porte sur la suppression de la rente au 1er février 2023, de sorte que les dispositions légales applicables seront citées dans leur nouvelle teneur. 3. En l’espèce, le litige porte sur le bien-fondé de la décision litigieuse, par laquelle l’intimé a supprimé à partir du 1er février 2023 la rente d’invalidité entière accordée à la recourante avec effet rétroactif au 1er décembre 2021.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 4.1 L’art. 17 al. 1 LPGA dispose que la rente d'invalidité est, d'office ou sur demande, révisée pour l'avenir, à savoir augmentée, réduite ou supprimée, lorsque le taux d'invalidité de l'assuré subit une modification d'au moins 5 points de pourcentage (let. a) ou atteint 100% (let. b). 4.2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w:t>
      </w:r>
    </w:p>
    <w:p>
      <w:r>
        <w:t>A/584/2024 - 11/22 -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Conformément à l’art. 28 LAI,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5.1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130 V 396 consid. 5.3 et 6).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 arrêt du Tribunal fédéral des assurances I.786/04 du 19 janvier 2006 consid. 3.1).</w:t>
      </w:r>
    </w:p>
    <w:p>
      <w:r>
        <w:t>A/584/2024 - 12/22 -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5.1.1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w:t>
      </w:r>
    </w:p>
    <w:p>
      <w:r>
        <w:t>A/584/2024 - 13/22 -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w:t>
      </w:r>
    </w:p>
    <w:p>
      <w:r>
        <w:t>A/584/2024 - 14/22 -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Des ressources préservées ne sauraient être inférées de relations maintenues avec certains membres de la famille dont la personne assurée est dépendante (arrêt du Tribunal fédéral 9C_55/2020 du 22 octobre 2020 consid. 5.2).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A/584/2024 - 15/22 - Les indicateurs appartenant à la catégorie « degré de gravité fonctionnel » forment le socle de base pour l’évaluation des troubles psychiques (ATF 141 V 281 consid. 4.3 ; arrêt du Tribunal fédéral 9C_618/2019 du 16 mars 2020 consid. 8.2). 5.1.2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5.1.3 Le juge vérifie librement si l’expert médical a exclusivement tenu compte des déficits fonctionnels résultant de l’atteinte à la santé et si son évaluation de l’exigibilité repose sur une base objective (consid. 5.2.2 ; ATF 137 V 64 consid. 1.2 in fine). 5.2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A/584/2024 - 16/22 -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w:t>
      </w:r>
    </w:p>
    <w:p>
      <w:r>
        <w:t>A/584/2024 - 17/22 -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I 244/05 du 3 mai 2006 consid. 2.1).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w:t>
      </w:r>
    </w:p>
    <w:p>
      <w:r>
        <w:t>A/584/2024 - 18/22 -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w:t>
      </w:r>
    </w:p>
    <w:p>
      <w:r>
        <w:rPr>
          <w:b/>
        </w:rPr>
        <w:t>E. 8</w:t>
      </w:r>
    </w:p>
    <w:p>
      <w:r>
        <w:t>En l’espèce, l’intimé a retenu, sur la base des conclusions du SMR, elles-mêmes fondées sur celles de la SUVA et du rapport d’expertise du BEM, que la recourante avait été en incapacité totale d’exercer son activité habituelle dès le</w:t>
      </w:r>
    </w:p>
    <w:p>
      <w:r>
        <w:rPr>
          <w:b/>
        </w:rPr>
        <w:t>E. 8.1</w:t>
      </w:r>
    </w:p>
    <w:p>
      <w:r>
        <w:t>Au niveau somatique, la recourante ne fait valoir aucun grief concret à l’encontre de l’appréciation du Dr K______. Elle reproche uniquement à l’intimé de ne pas avoir « investigué » sur les activités qu’elle pourrait théoriquement exercer compte tenu de ses limitations fonctionnelles. La chambre de céans observe que les diagnostics et restrictions retenus par l’expert correspondent aux éléments contenus dans les rapports de la Dre C______. Par ailleurs, la médecin traitant a indiqué ne pas avoir d’arguments supplémentaires susceptibles de justifier une incapacité de travail supérieure au taux de 30%. Dans ces conditions, le volet somatique de l’expertise peut se voir attribuer une pleine valeur probante.</w:t>
      </w:r>
    </w:p>
    <w:p>
      <w:r>
        <w:t>A/584/2024 - 19/22 -</w:t>
      </w:r>
    </w:p>
    <w:p>
      <w:r>
        <w:rPr>
          <w:b/>
        </w:rPr>
        <w:t>E. 8.2</w:t>
      </w:r>
    </w:p>
    <w:p>
      <w:r>
        <w:t>S’agissant du volet psychiatrique de l’expertise, la recourante soulève d’importantes divergences dans les appréciations des Drs M______ et G______, en particulier concernant les diagnostics, les restrictions et la capacité de travail. La chambre de céans constate tout d’abord que l’expert psychiatre a procédé à une anamnèse approfondie, portant sur les aspects personnels, familiaux, scolaires, professionnels, ainsi que sociaux, relationnels et sentimentaux. L’expertisée a été interrogée sur son dernier poste de travail, sa perception de son avenir professionnel et de ses limitations fonctionnelles, sur le déroulement détaillé d’une journée type, avant et après son incapacité de travail. L’expert a effectué une anamnèse psychiatrique systématique, rapportant précisément les déclarations et plaintes de l’expertisée, qu’il a également questionnée sur ses antécédents psychiatriques et sur le traitement suivi. Il a ensuite livré le résultat de ses constatations objectives, et motivé l’absence de tout diagnostic psychiatrique, en se référant aux critères diagnostics de la CIM-10. Il a dûment expliqué les raisons pour lesquelles il ne pouvait pas retenir de trouble dépressif récurrent, de dysthymie, de trouble de l’adaptation, de trouble de la personnalité, de trouble anxieux caractérisé, de trouble somatoforme douloureux persistant ou encore de douleurs chroniques. Il a discuté les rapports du Dr G______ des 9 décembre 2020, 25 juin 2021, 25 mai 2022 et 4 avril 2023, et y a relevé des imprécisions et des incohérences. À titre d’exemples, il a souligné que le psychiatre de la recourante avait évoqué un trouble dépressif récurrent, sans toutefois mentionner l’intensité de la dépression, et que la chronicité retenue par ce médecin concernant l’épisode dépressif était peu cohérente avec le dosage de Cipralex qui n’avait que très peu augmenté, alors que l’expertisée ne faisait pas état de mauvaise tolérance dudit traitement. La chambre de céans relèvera en outre une certaine inconséquence dans la position du Dr G______, lequel reproche à l’expert de s’être éloigné de la nomenclature internationale, alors que lui-même ne pose pas de diagnostic en application d’un système de classification reconnu. De plus, si le psychiatre traitant a retenu de nombreux symptômes de la lignée dépressive, notamment une anhédonie, une aboulie partielle, une baisse de l’élan vital, une diminution de l’appétit, des troubles de la concentration et de la mémoire, force est de constater que ses indications ne sont pas du tout étayées, contrairement à celles de l’expert. Ce dernier a noté que l’intéressée ne rapportait pas d’abaissement continu de l’humeur, qui était seulement variable par période. Elle évoquait un intérêt et un plaisir qui étaient conservés, notamment pour les moments passés en famille, avec des amis ou lorsqu’elle était en Bosnie. De nombreuses choses l’intéressaient, notamment la musique et regarder la télévision, étant précisé que la famille avait plus de 300 chaînes, dont des chaînes bosniaques, serbes ou croates. Ils avaient parfois des invités et étaient aussi souvent conviés. Ils pouvaient alors discuter longtemps avec leurs invités et se coucher vers minuit, l’intéressée précisant qu’elle aimait bien être entourée. Elle avait déclaré que son appétit était variable</w:t>
      </w:r>
    </w:p>
    <w:p>
      <w:r>
        <w:t>A/584/2024 - 20/22 - et qu’elle avait pris cinq kilos en deux ans en raison de la ménopause. Au status, l’expert a notamment constaté que le discours était clair, bien construit, fluide, sans manque de mot. Le contenu de la pensée était logique et adapté, l’attention et la concentration étaient normales et stables durant tout l’entretien. Il n’avait observé aucun trouble de la mémoire. L'adaptation aux règles et aux routines était constatée, les activités spontanées demeuraient assez diversifiées et n’étaient pas non plus limitées par un trouble psychique, les capacités de persévérance étaient normales comme en attestait la trajectoire de l'expertisée, notamment au décours des différents deuils qu'elle avait pu traverser. La capacité d'affirmation de soi était normale et avait été constatée au jour de l'examen. Le rapport avec son mari, la famille et les intimes était décrit de tout temps comme étant de bonne qualité. L’intéressée évoquait avec plaisir les souvenirs de sa collaboration avec ses collègues de l'hôtel, même ceux qui n'étaient pas de sa famille, mais qu'elle considérait comme tel. La capacité à prendre soin de soi était normale et avait été constatée au jour de l'examen. Les conclusions du Dr M______, fondées sur un examen complet et approfondi, et une analyse minutieuse des critères pertinents de chaque diagnostic envisagé, en particulier ceux évoqués par le psychiatre traitant, apparaissent ainsi dûment motivées et convaincantes. Le Dr G______ ne fait pas état d’éléments objectivement vérifiables, de nature clinique ou diagnostique, qui auraient été ignorés dans le cadre de l’expertise, suffisamment pertinents pour remettre en cause les conclusions de celle-ci ou établir leur caractère incomplet. Les critiques du psychiatre traitant à l’encontre du rapport d’expertise apparaissent en réalité peu pertinentes. En particulier, que celui-ci considère que l’état de santé de sa patiente requiert un suivi psychothérapeutique et la prise de médicaments ne signifie pas pour autant que la recourante souffre d’une grave atteinte à la santé qui la rendrait inapte à exercer une activité professionnelle. En outre, il est relevé que l’intéressée a indiqué à l’expert avoir été suivie par une psychologue de 2019 à 2020, à raison d’une séance d’une heure par mois. Suite au départ de cette professionnelle, le suivi a été repris par le psychiatre référent, lequel ne semble pas avoir jugé nécessaire d’augmenter la fréquence des séances, puisqu’il a indiqué, dans son rapport du 25 mai 2022, que les deux dernières consultations remontaient aux 12 avril et 24 mai 2022. Le traitement médicamenteux consiste, depuis 2020, en la prise de Cipralex en goutte, sans que le Dr G______ ait signalé d’augmentation du dosage. Ces éléments ne parlent pas en faveur d’un trouble psychique d’une certaine gravité. Il sied encore de souligner que le psychiatre traitant n’a pas évalué la capacité de travail de sa patiente en application des principes développés par la jurisprudence. Partant, contrairement à ce que soutient la recourante, les conclusions du Dr M______ apparaissent parfaitement cohérentes. Une pleine valeur probante peut donc également être reconnue aux conclusions de l’expertise psychiatrique.</w:t>
      </w:r>
    </w:p>
    <w:p>
      <w:r>
        <w:t>A/584/2024 - 21/22 -</w:t>
      </w:r>
    </w:p>
    <w:p>
      <w:r>
        <w:rPr>
          <w:b/>
        </w:rPr>
        <w:t>E. 8.3</w:t>
      </w:r>
    </w:p>
    <w:p>
      <w:r>
        <w:t>Eu égard aux considérations qui précèdent, l’intimé était fondé à retenir, conformément aux conclusions de la SUVA, que la recourante avait présenté une incapacité de travail totale dans toute activité du 13 décembre 2020, date de l’accident, au 4 octobre 2022, date de l’examen médical ordonné par l’assureur-accidents, et qu’elle disposait depuis lors d’une capacité de travail de 70% dans toute activité. Il pouvait donc conclure à l’existence d’une amélioration de l’état de santé à compter du 1er février 2023.</w:t>
      </w:r>
    </w:p>
    <w:p>
      <w:r>
        <w:rPr>
          <w:b/>
        </w:rPr>
        <w:t>E. 8.4</w:t>
      </w:r>
    </w:p>
    <w:p>
      <w:r>
        <w:t>La recourante reproche à l’intimé de ne pas avoir « investigué » sur les activités qu’elle pourrait théoriquement exercer compte tenu de ses limitations fonctionnelles. Conformément à la jurisprudence précitée, l'intimé n’était pas tenu d’examiner quelle activité concrète était adaptée aux restrictions de la recourante. De surcroît, il est rappelé que l’expert a retenu une capacité de travail de 70% dans toute activité, y compris dans le dernier emploi exercé par l’intéressée. La diminution du taux de 30% est motivée par les limitations fonctionnelles de la recourante, qui concernent essentiellement les positions statiques prolongées, le périmètre de marche, le port de charge et les travaux impliquant une force de préhension de la main gauche. Dès lors, il n’est pas contestable que la recourante est apte à exploiter économiquement sa capacité de gain résiduelle sur le marché du travail.</w:t>
      </w:r>
    </w:p>
    <w:p>
      <w:r>
        <w:rPr>
          <w:b/>
        </w:rPr>
        <w:t>E. 8.5</w:t>
      </w:r>
    </w:p>
    <w:p>
      <w:r>
        <w:t>Compte tenu de l’existence d’une capacité de travail de 70% dans toute activité, y compris dans l’activité habituelle, la recourante ne peut effectivement plus prétendre à l’octroi d’une rente d’invalidité à compter du 1er février 2023. 9. Au vu de ce qui précède, le recours sera rejeté. 10.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A/584/2024 - 22/22 - PAR CES MOTIFS, LA CHAMBRE DES ASSURANCES SOCIALES : Statuant À la forme :</w:t>
      </w:r>
    </w:p>
    <w:p>
      <w:r>
        <w:rPr>
          <w:b/>
        </w:rPr>
        <w:t>E. 13</w:t>
      </w:r>
    </w:p>
    <w:p>
      <w:r>
        <w:t>décembre 2020, début du délai d’attente d’une année, et qu’elle disposait, à compter du 4 octobre 2022, d’une capacité de travail de 70% dans toute activité. La recourante conteste cette appréciation et se réfère aux rapports de ses médecins traitants. À cet égard, il sied de relever que l’intéressée a produit, dans le cadre de la présente procédure, des documents médicaux postérieurs au prononcé de la décision litigieuse, lesquels se rapportent toutefois aux atteintes à la santé préexistant à ladite décision, de sorte qu’ils doivent être pris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