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ATAS/724/2023 vom 28. September 2023</w:t>
      </w:r>
    </w:p>
    <w:p>
      <w:r>
        <w:t>GE Cour de justice, 2023-09-28, FR</w:t>
      </w:r>
    </w:p>
    <w:p>
      <w:r>
        <w:rPr>
          <w:b/>
        </w:rPr>
        <w:t xml:space="preserve">Quelle: </w:t>
      </w:r>
      <w:r>
        <w:t>https://mcp.opencaselaw.ch/entscheid/ge_gerichte_ATAS_724_2023</w:t>
      </w:r>
    </w:p>
    <w:p>
      <w:r>
        <w:t>FR: GE_GERICHTE ATAS/724/2023 du 28 septembre 2023</w:t>
      </w:r>
    </w:p>
    <w:p>
      <w:r>
        <w:t>IT: GE_GERICHTE ATAS/724/2023 del 28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postérieurement au 1er janvier 2022 et est soumise au nouveau droit.</w:t>
      </w:r>
    </w:p>
    <w:p>
      <w:r>
        <w:rPr>
          <w:b/>
        </w:rPr>
        <w:t>E. 3.3</w:t>
      </w:r>
    </w:p>
    <w:p>
      <w:r>
        <w:t>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w:t>
      </w:r>
    </w:p>
    <w:p>
      <w:r>
        <w:rPr>
          <w:b/>
        </w:rPr>
        <w:t>E. 4</w:t>
      </w:r>
    </w:p>
    <w:p>
      <w:r>
        <w:t>Sur la forme,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w:t>
      </w:r>
    </w:p>
    <w:p>
      <w:r>
        <w:t>A/1772/2023 - 6/14 -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 motivation est pour le moins succincte ; on comprend néanmoins ce qu’entend obtenir le recourant, de sorte qu’elle reste suffisante. 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bien-fondé de la décision de refus de mesures professionnelles.</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7.1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w:t>
      </w:r>
    </w:p>
    <w:p>
      <w:r>
        <w:t>A/1772/2023 - 7/14 -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w:t>
      </w:r>
    </w:p>
    <w:p>
      <w:r>
        <w:rPr>
          <w:b/>
        </w:rPr>
        <w:t>E. 7.2</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w:t>
      </w:r>
    </w:p>
    <w:p>
      <w:r>
        <w:t>A/1772/2023 - 8/14 - disponibles ne sont pas suffisantes pour choisir une profession adaptée (arrêt du Tribunal fédéral 9C_882/2008 du 29 octobre 2009 consid. 5.1 et les références).</w:t>
      </w:r>
    </w:p>
    <w:p>
      <w:r>
        <w:rPr>
          <w:b/>
        </w:rPr>
        <w:t>E. 9</w:t>
      </w:r>
    </w:p>
    <w:p>
      <w:r>
        <w:t>9.1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w:t>
      </w:r>
    </w:p>
    <w:p>
      <w:r>
        <w:rPr>
          <w:b/>
        </w:rPr>
        <w:t>E. 9.2</w:t>
      </w:r>
    </w:p>
    <w:p>
      <w:r>
        <w:t>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Si l’assuré est placé, en raison de son invalidité, dans un centre de formation, l’assurance prend en charge les frais de nourriture et de logement (al. 5). Si l’assuré a des frais supplémentaires du fait qu’il doit loger et prendre ses repas hors de chez lui et ailleurs que dans un centre de formation, l’assurance prend en charge, sous réserve des conventions tarifaires (art. 24 al. 2): pour la nourriture, les prestations visées à l’art. 90, al. 4, let. a et b (al. 6 let a); pour le logement, les frais</w:t>
      </w:r>
    </w:p>
    <w:p>
      <w:r>
        <w:t>A/1772/2023 - 9/14 - nécessaires et attestés jusqu’à concurrence de la prestation visée à l’art. 90, al. 4, let. c (al. 6 let b).</w:t>
      </w:r>
    </w:p>
    <w:p>
      <w:r>
        <w:rPr>
          <w:b/>
        </w:rPr>
        <w:t>E. 9.3</w:t>
      </w:r>
    </w:p>
    <w:p>
      <w:r>
        <w:t>Au titre des mesures d'ordre professionnel, la loi distingue la formation professionnelle initiale (art. 16 al. 1 LAI) du reclassement professionnel (art. 17 al. 1 LAI). Conformément à la première disposition citée, les surcoûts occasionnés par l'invalidité sont pris en charge si la formation répond aux aptitudes de l'assuré et que celui-ci n'a pas encore eu d'activité lucrative (art. 16 al. 1 LAI); selon la jurisprudence, est invalide au sens de cette disposition l'assuré dont la formation initiale à une profession répondant à ses aptitudes occasionne, du fait de son invalidité, des frais beaucoup plus élevés qu'à un non-invalide (ATF 114 V 30 consid. 1b et les références citées). Le critère déterminant le droit à l'une ou l'autre de ces mesures de réadaptation d'ordre professionnel réside dans l'exercice d'une activité lucrative d'une certaine importance avant la survenance de l'invalidité et l'application de la mesure (ATF 129 V 119 consid. 2.2; VSI 2000 p. 194 consid. 2a et les références à ATF 118 V 7 consid. 1c/c).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(ATF 113 V 261 consid. 1b; arrêt du Tribunal fédéral des assurances I 159/05, cité, consid. 3.2.2). Par ailleurs, une activité d'une certaine importance économique suppose que l'assuré ait acquis pendant six mois un revenu équivalant à trois quarts d'une rente ordinaire simple minimale entière et perdu celui-ci en raison de l'invalidité (ATF 118 V 7 consid. 1c/aa; arrêt du Tribunal fédéral 9C_354/2010 du 16 décembre 2010 consid. 3.1).</w:t>
      </w:r>
    </w:p>
    <w:p>
      <w:r>
        <w:rPr>
          <w:b/>
        </w:rPr>
        <w:t>E. 10</w:t>
      </w:r>
    </w:p>
    <w:p>
      <w:r>
        <w:t>Selon l'art. 5bis RAI, lors d’un perfectionnement professionnel, les frais supplémentaires supportés par l’assuré en raison de son invalidité sont pris en charge par l’assurance s’ils atteignent au moins de 400 francs par année (al. 1). Le montant des frais supplémentaires se calcule en comparant les frais supportés par la personne invalide avec ceux qu’une personne non atteinte dans sa santé devrait probablement assumer pour la même formation (al. 2). Font partie des frais reconnus par l’assurance, dans les limites de l’al. 2, les dépenses faites pour acquérir les connaissances et l’habileté nécessaires, les frais d’acquisition d’outils personnels et de vêtements professionnels, les frais de transport ainsi que les frais de logement et de nourriture hors domicile découlant de l’invalidité (al. 3). Le remboursement des frais de logement et de nourriture hors domicile se détermine, sous réserve des conventions tarifaires, d’après l’art. 5 al. 6 let. a et b. Si des cours de perfectionnement dispensés par des institutions ou organisations au sens des art. 73 ou 74 LAI et définis par l’office fédéral dans une ordonnance spéciale entraînent des frais de logement et de nourriture hors domicile découlant de l’invalidité, l’assurance prend en charge ces frais (al. 4).</w:t>
      </w:r>
    </w:p>
    <w:p>
      <w:r>
        <w:t>A/1772/2023 - 10/14 -</w:t>
      </w:r>
    </w:p>
    <w:p>
      <w:r>
        <w:rPr>
          <w:b/>
        </w:rPr>
        <w:t>E. 11</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12</w:t>
      </w:r>
    </w:p>
    <w:p>
      <w:r>
        <w:t>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w:t>
      </w:r>
    </w:p>
    <w:p>
      <w:r>
        <w:t>A/1772/2023 - 11/14 -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En l’espèce, le recourant ne conteste pas que sa santé lui permet de travailler à 100 % dans une activité adaptée. Il ne remet pas non plus en question la manière dont l’OAI a calculé son degré d’invalidité, mais allègue qu’il devrait pouvoir bénéficier de mesures professionnelles supplémentaires, sous la forme de la prise en charge de la formation diplômante pour pouvoir travailler en tant que dessinateur industriel. Par ailleurs, il considère ne pas pouvoir travailler en qualité d’ouvrier polyvalent, non pas en raison d’un manque de compétences, mais parce qu’il lui est « physiquement impossible d’effectuer des travaux trop physiques ». L’OAI, de son côté, estime que l’assuré a pu bénéficier de suffisamment de mesures de reclassement et qu’il n’est pas tenu de lui offrir des mesures professionnelles qui correspondraient exactement au marché du travail, selon les particularités actuelles.</w:t>
      </w:r>
    </w:p>
    <w:p>
      <w:r>
        <w:rPr>
          <w:b/>
        </w:rPr>
        <w:t>E. 14.1</w:t>
      </w:r>
    </w:p>
    <w:p>
      <w:r>
        <w:t>L’examen du dossier montre que l’OAI a effectué un travail de réadaptation diligent en permettant à l’assuré de bénéficier d’un grand nombre de mesures d’ordre professionnel, notamment sous la forme de la prise en charge de frais de formation pour l’obtention d’un diplôme dans le domaine informatique, de cours de langue anglaise, de plusieurs stages pratiques dans des entreprises sous la supervision des ÉPI et enfin en matière de coaching. En raison de ses troubles de la santé, l’assuré ne peut plus exercer sa profession habituelle de peintre en bâtiment, mais il dispose d’une capacité résiduelle de 100% dans une activité adaptée à ses limitations fonctionnelles, notamment une activité pouvant être, en grande partie, réalisée en position assise. Selon les rapports de stage et les remarques du recourant, les mesures professionnelles décidées par l’intimé étaient appropriées au but de la réadaptation professionnelle poursuivi par l'assurance-invalidité, et cela tant objectivement, en ce qui concerne les différentes mesures prises sous forme de cours d’informatique,</w:t>
      </w:r>
    </w:p>
    <w:p>
      <w:r>
        <w:t>A/1772/2023 - 12/14 - de langues et de stages en entreprise, que sur le plan subjectif en rapport avec la personne de l'assuré, qui a suivi avec diligence les mesures professionnelles qui lui étaient imparties. Comme le relève à juste titre l’OAI, en matière d’assurance-invalidité, le juge applique la notion de marché équilibré du travail, ce qui est une notion théorique et abstraite qui sert de critère de distinction entre les cas qui tombent sous le coup de l’assurance-chômage et ce qui relève de l’assurance-invalidité ou de l’assurance-accidents ou de l’assurance militaire. Cette notion implique, d’une part, un certain équilibre entre l’offre et la demande de main-d’œuvre et, d’autre part, un marché du travail structuré de telle sorte qu’il offre un éventail d’emplois diversifiés. La conjoncture et ses éventuels effets négatifs n’entrent pas en considération (ATF 110 V 276 consid. 4b). En effet, à teneur de l’ATF 130 V 346, consid. 3.2, ce qui ressort notamment du rapport explicatif de la commission selon la FF 1991 II 249 concernant l'art. 7 LPGA : « L'incapacité de gain est, selon différentes lois sur les assurances sociales, le facteur déterminant de l'invalidité, mais n'est pas décrite plus précisément en tant que telle. Ici aussi, la jurisprudence a toutefois suffisamment clarifié la notion. Contrairement à l'incapacité de travail, ce n'est pas la possibilité de travailler dans l'ancien domaine d'activité qui est déterminante, mais la possibilité de gagner sa vie qui subsiste après le traitement et la réadaptation, dans n'importe quel domaine d'activité équilibré pour la personne concernée ».</w:t>
      </w:r>
    </w:p>
    <w:p>
      <w:r>
        <w:rPr>
          <w:b/>
        </w:rPr>
        <w:t>E. 14.2</w:t>
      </w:r>
    </w:p>
    <w:p>
      <w:r>
        <w:t>La notion du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276 consid. 4b; VSI 1991 p. 332 consid. 3b). Comme le rappelle le Tribunal fédéral des assurances, dans son arrêt du 27 juillet 2005, consid. 4.2 et 4.3 (I 61/05) «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w:t>
      </w:r>
    </w:p>
    <w:p>
      <w:r>
        <w:t>A/1772/2023 - 13/14 -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 ». En l’occurrence, aucun élément ne permet d’envisager que la formation actuelle du recourant, au terme des mesures professionnelles dont il a bénéficié, ne lui permette pas d’effectuer une activité raisonnablement exigible.</w:t>
      </w:r>
    </w:p>
    <w:p>
      <w:r>
        <w:rPr>
          <w:b/>
        </w:rPr>
        <w:t>E. 14.3</w:t>
      </w:r>
    </w:p>
    <w:p>
      <w:r>
        <w:t>S’agissant de l’argument du recourant selon lequel il ne peut pas être employé en qualité d’ouvrier polyvalent dès lors qu’il n’en a pas les capacités physiques, il tombe à faux dès lors que le dossier démontre qu’il a effectué, avec succès, un stage en qualité d’ouvrier polyvalent auprès de l’entreprise C______, qui a donné satisfaction, à telle enseigne que la durée du stage a été prolongée d’un mois supplémentaire.</w:t>
      </w:r>
    </w:p>
    <w:p>
      <w:r>
        <w:rPr>
          <w:b/>
        </w:rPr>
        <w:t>E. 15</w:t>
      </w:r>
    </w:p>
    <w:p>
      <w:r>
        <w:t>Partant, la décision de l’OAI est bien fondée et la chambre de céans n’a d’autre choix que de rejeter le recours.</w:t>
      </w:r>
    </w:p>
    <w:p>
      <w:r>
        <w:rPr>
          <w:b/>
        </w:rPr>
        <w:t>E. 16</w:t>
      </w:r>
    </w:p>
    <w:p>
      <w:r>
        <w:t>Étant donné que, depuis le 1er juillet 2006, la procédure n'est plus gratuite (art. 69 al. 1bis LAI), au vu du sort du recours, il y a lieu de condamner le recourant au paiement d'un émolument de CHF 200.-.</w:t>
      </w:r>
    </w:p>
    <w:p>
      <w:r>
        <w:t>A/1772/2023 - 14/14 -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