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ATAS/724/2020 vom 2. September 2020</w:t>
      </w:r>
    </w:p>
    <w:p>
      <w:r>
        <w:t>GE Cour de justice, 2020-09-02, FR</w:t>
      </w:r>
    </w:p>
    <w:p>
      <w:r>
        <w:rPr>
          <w:b/>
        </w:rPr>
        <w:t xml:space="preserve">Quelle: </w:t>
      </w:r>
      <w:r>
        <w:t>https://mcp.opencaselaw.ch/entscheid/ge_gerichte_ATAS_724_2020</w:t>
      </w:r>
    </w:p>
    <w:p>
      <w:r>
        <w:t>FR: GE_GERICHTE ATAS/724/2020 du 2 septembre 2020</w:t>
      </w:r>
    </w:p>
    <w:p>
      <w:r>
        <w:t>IT: GE_GERICHTE ATAS/724/2020 del 2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Le litige porte sur le droit du recourant aux prestations de l’assurance-invalidité.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A/3082/2018 - 19/28 -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w:t>
      </w:r>
    </w:p>
    <w:p>
      <w:r>
        <w:t>Dans un arrêt du 11 juillet 2019 (9C_724/2018), le Tribunal fédéral a jugé que s’agissant du droit à des prestations de l'assurance-invalidité en cas de toxicomanie, il convenait désormais de clarifier, comme pour toutes les autres maladies psychiques, au moyen d'une grille d'évaluation normative et structurée, si la dépendance à des substances addictives diagnostiquée par des spécialistes influait sur la capacité de travail de la personne concernée. 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 Tribunal fédéral a développé dans sa jurisprudence en la matière les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w:t>
      </w:r>
    </w:p>
    <w:p>
      <w:r>
        <w:t>A/3082/2018 - 20/28 - distinguer les limitations fonctionnelles causées par l'atteinte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w:t>
      </w:r>
    </w:p>
    <w:p>
      <w:r>
        <w:t>A/3082/2018 - 21/28 -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6</w:t>
      </w:r>
    </w:p>
    <w:p>
      <w:r>
        <w:t>a. Pour pouvoir établir s’il y a une atteinte incapacitante, le juge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w:t>
      </w:r>
    </w:p>
    <w:p>
      <w:r>
        <w:t>A/3082/2018 - 22/28 -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w:t>
      </w:r>
    </w:p>
    <w:p>
      <w:r>
        <w:t>A/3082/2018 - 23/28 -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a. En l’espèce, l’intimé conteste, sur la base d’un avis du SMR du 10 mars 2010, le diagnostic de trouble dépressif d’intensité moyenne retenu par l’experte, relevant que le test de Beck se fondait sur une auto-évaluation, ce qui ne constituait pas une base suffisante et objective pour poser un tel diagnostic. En outre, les critères de la CIM-10 n’étaient pas réunis pour poser ce diagnostic, car le recourant ne présentait pas d'abaissement de l'humeur, ni de diminution de l'intérêt ou du plaisir, mais seulement une fatigabilité décrite de manière subjective. Il n’y avait pas non plus de ralentissement psychomoteur objectivé au status et le recourant ne présentait pas de troubles cognitifs, mais seulement des sentiments de culpabilité et de dévalorisation, une baisse d'estime de soi et un certain pessimisme. L’experte a motivé le diagnostic de trouble dépressif récurrent, épisode actuel moyen, (F33.1) qu’elle a retenu en rappelant que l'expertisé avait présenté des épisodes dépressifs durant deux hospitalisations à l'Hôpital psychiatrique cantonal de Fribourg en 2006 et 2014, avec introduction d'un traitement antidépresseur. L'épisode présenté actuellement était d'intensité moyenne. Même si l'évolution concernant les addictions était favorable, il y avait un risque important de recrudescence des symptômes dépressifs, en cas d'augmentation de stress interpersonnel, comme cela avait pu être remarqué durant son activité de réinsertion. Elle a également retenu que l’expertisé restait très isolé par peur d'être jugé, ce qui provoquait un sentiment de solitude important qui influençait négativement son humeur. L'équilibre psychique restait précaire avec un risque de réapparition des épisodes dépressifs et de rechute dans les consommations. L’expertisé présentait un retrait social et un certain manque de plaisir et intérêt dans des activités en général. Il ressort de la journée-type du recourant décrite par l’experte que même s’il a certains loisirs – qui sont limités à la lecture, à l’usage de son ordinateur, à des jeux sur une console et à des contacts sociaux limités à son activité pour la O______, ses thérapeutes et ses parents –, il a peu d’intérêts et de plaisir. Le fait que sa thymie soit neutre et sans effondrement dépressif s’explique par le fait qu’il prend des médicaments antidépresseurs. L’on ne peut dès lors, comme le fait l’intimé, sur la base de l’avis du SMR, retenir que l'assuré ne présente pas d'abaissement de l'humeur, ni de diminution de l'intérêt ou du plaisir. L’experte a également fondé son diagnostic de trouble dépressif moyen sur le test psychologique de Beck, qui est un questionnaire à choix multiples de questions, servant précisément à mesurer la sévérité de la dépression clinique (https://fr.wikipedia.org/wiki/Inventaire_de_dépression_de_Beck). Contrairement à ce que soutient l’intimé, le recourant n’a ainsi pas évalué lui-même la gravité de son état dépressif, mais les réponses qu’il a données aux questions posées ont</w:t>
      </w:r>
    </w:p>
    <w:p>
      <w:r>
        <w:t>A/3082/2018 - 24/28 - permis à l’experte de l’évaluer, en tenant également compte de l’anamnèse et des constats faits lors de ses trois entretiens avec le recourant. Pour retenir un épisode dépressif moyen, il faut, selon la CIM-10, que le cas réponde aux critères généraux d’un trouble dépressif (F32), soit en particulier que l’épisode ait duré au moins deux semaines. Il faut encore que soient retrouvés deux des trois symptômes du critère B de F32.0 et plusieurs symptômes du critère C de F32.0 pour atteindre au total au moins six symptômes. Il faut admettre que la motivation de l’experte est un peu lacunaire s’agissant de ce diagnostic et qu’elle ne permet pas de déterminer clairement si tous les symptômes requis par la CIM-10 pour retenir un épisode dépressif moyen sont effectivement réunis. Cela est toutefois sans conséquence pour trancher le cas d’espèce. En effet, le diagnostic de trouble dépressif récurrent, épisode actuel moyen, est l’un parmi d’autres diagnostics, plus graves en intensité, qui entraînent une incapacité de travail à 100% du recourant et l’experte a précisé que les limitations fonctionnelles du recourant étaient essentiellement dues à son trouble de la personnalité et qu’elles tenaient à sa peur d'être critiqué. La question de l’intensité exacte du degré du trouble dépressif récurrent n’apparaît dès lors pas déterminante pour fixer la capacité de travail du recourant et, partant, son taux d’invalidité. Il en résulte que les lacunes dans la motivation de ce diagnostic ne remettent pas en cause la force probante globale de l’expertise et qu’il n’est pas nécessaire d’instruire plus avant cette question. b. L’intimé a encore fait valoir que les critères déterminants pour retenir le diagnostic de trouble de la personnalité évitante faisaient également défaut. Dans son avis du 10 mars 2020, la Dresse O______ a indiqué que « l'absence de formation professionnelle et de relations affectives stables peut être mise en relation avec la toxicodépendance et la désinsertion sociale induite par celle-ci. Même si l'assuré a interrompu la mesure professionnelle, il a pu travailler avec la Fondation Trajet sur plusieurs mois, en maintenant une activité dans le bénévolat. À noter qu'il évite certaines fréquentations afin de ne pas être tenté par une consommation des substances toxiques. En reprenant les critères de la CIM-10 d'un trouble de la personnalité anxieuse, évitante, nous ne retrouvons pas chez cet assuré un sentiment envahissant et persistant de tension et d'appréhension, une perception de soi comme socialement incompétent ou inférieur aux autres, une restriction du style de vie résultant du besoin de sécurité, un évitement des activités sociales impliquant des contacts importants avec autrui; sa perception de lui-même peut être perçue comme pessimiste, et il craint d'être critiqué par les autres, mais cela n'est pas une préoccupation excessive ». L’experte a particulièrement développé les motifs pour lesquels elle a retenu le diagnostic de personnalité anxieuse (évitante). Elle a ainsi indiqué que le tableau clinique présenté par le recourant était caractéristique d'un tel trouble, qui avait débuté durant l'adolescence. Les consommations de diverses substances lui avaient permis de mieux affronter des difficultés éprouvées, comme la peur d'être critiqué,</w:t>
      </w:r>
    </w:p>
    <w:p>
      <w:r>
        <w:t>A/3082/2018 - 25/28 - les relations interpersonnelles et familiales ainsi que la vision négative de lui- même. Elle a précisé que le trouble de la personnalité du recourant avait pu rester inaperçu au vu des consommations importantes, mais qu’il était devenu très évident depuis la période prolongée d'abstinence. Les troubles mentaux et du comportement liés à l'utilisation de différentes substances étaient une suite de son trouble de la personnalité et pouvaient être classés comme troubles secondaires. Le rapport établi le 13 juin 2018 de M. J______ confirme le diagnostic de personnalité anxieuse et la capacité de travail retenus par l’experte. Il a en effet relevé que l’assuré s’était retrouvé à maintes reprises très envahi, dès que des perturbations relationnelles, mêmes simples, se présentaient, d’où des difficultés patentes avec ses collègues, alors qu’il était plutôt de nature bienveillante. Si le niveau de compréhension était là, il se trouvait parfois parasité, plus ou moins sévèrement et de manière cyclique, par tous les autres champs énoncés. Ses limites induisaient également un niveau de stress plus ou moins inhibant selon les phases. En résumé, l’assuré avait une volonté d’être au mieux conforme et de progresser sur tous les plans, mais il se retrouvait confronté de manière continuelle, parfois de manière auto-agressante, et avec trop peu de résultats obtenus, à de grandes difficultés, avec un sentiment de culpabilité récurrent. Cette situation le mettait, sur la durée, dans un état de tension intérieure très problématique à gérer pour lui, d’où de nombreuses journées d’absence, par périodes. Selon M. J______, l’assuré ne pouvait pas encore travailler en milieu adapté et encore moins dans le secteur de premier marché. c. L’experte a enfin examiné tous les indicateurs développés par le Tribunal fédéral avant de retenir que les atteintes à la santé du recourant étaient totalement invalidantes. S'agissant de l’indicateur du traitement, l’intimé a fait valoir qu’il ressortait de l'expertise judiciaire que le recourant avait bien adhéré au traitement de substitution et à la prise en charge médicale et infirmière et que, dans ce contexte, l'on ne pouvait en aucun cas parler d'échec de traitement, ni d'un processus maladif s'étendant sur plusieurs années. Il convient de retenir au contraire que malgré une bonne adhésion à son traitement, qui a certes permis la stabilisation de son état, le recourant n’a pas pu retrouver une capacité de travail sur le marché ordinaire. En ce sens, l’on peut retenir un échec du traitement, malgré une bonne adhésion à celui-ci. Contrairement à ce qu’a allégué l’intimé, on ne peut retenir, s'agissant des ressources personnelles et du contexte social du recourant, que la pauvreté de sa vie affective était liée au fait qu’il évitait ses anciens amis toxicomanes afin de ne pas replonger dans la dépendance. En effet, il ressort clairement de l’expertise et du rapport de stage du 13 juin 2018 que l’assuré a de réelles difficultés à entretenir des liens avec autrui en raison de son trouble de personnalité anxieuse dans tous les contextes. L’on ne peut donc retenir que l'analyse de la vie quotidienne indiquait qu'il n'existait pas une limitation uniforme dans toutes les activités de la vie quotidienne et que ses ressources étaient préservées.</w:t>
      </w:r>
    </w:p>
    <w:p>
      <w:r>
        <w:t>A/3082/2018 - 26/28 - d. Les conclusions de l’experte sont fondées sur une anamnèse et trois entretiens avec le recourant et elles prennent en compte les indicateurs développés par le Tribunal fédéral. Elle est ainsi globalement convaincante et n’est pas sérieusement remise en cause par celle de la Dresse P______, qui n’a pas elle-même entendu le recourant, qui n’est pas spécialisée en psychiatrie et qui ne se fonde pas sur des éléments qui auraient été ignorés par l’experte. L’expertise du 4 février 2020 doit ainsi se voir reconnaître une pleine force probante.</w:t>
      </w:r>
    </w:p>
    <w:p>
      <w:r>
        <w:rPr>
          <w:b/>
        </w:rPr>
        <w:t>E. 10</w:t>
      </w:r>
    </w:p>
    <w:p>
      <w:r>
        <w:t>Sur cette base, il convient de retenir que le recourant est totalement incapable de travailler depuis 2000.</w:t>
      </w:r>
    </w:p>
    <w:p>
      <w:r>
        <w:rPr>
          <w:b/>
        </w:rPr>
        <w:t>E. 11</w:t>
      </w:r>
    </w:p>
    <w:p>
      <w:r>
        <w:t>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b. En application des articles et de la jurisprudence qui précèdent, le recourant a droit à une rente entière d’invalidité dès le 1er avril 2017, soit le premier jour du mois durant lequel s’est terminée la période de six mois à compter de la demande de prestation de l’assurance-invalidité du 10 octobre 2016, étant précisé qu’à cette date, il était totalement incapable de travailler depuis plus d’un an.</w:t>
      </w:r>
    </w:p>
    <w:p>
      <w:r>
        <w:rPr>
          <w:b/>
        </w:rPr>
        <w:t>E. 12</w:t>
      </w:r>
    </w:p>
    <w:p>
      <w:r>
        <w:t>Au vu de ce qui précède, le recours sera admis et la décision du 11 juillet 2018 sera annulée.</w:t>
      </w:r>
    </w:p>
    <w:p>
      <w:r>
        <w:rPr>
          <w:b/>
        </w:rPr>
        <w:t>E. 13</w:t>
      </w:r>
    </w:p>
    <w:p>
      <w:r>
        <w:t>Le recourant obtenant gain de cause, une indemnité de CHF 3’000.- lui sera accordée à titre de participation à ses frais et dépens (art. 61 let. g LPGA; art. 6 du règlement sur les frais, émoluments et indemnités en matière administrative du 30 juillet 1986 [RFPA - E 5 10.03]).</w:t>
      </w:r>
    </w:p>
    <w:p>
      <w:r>
        <w:rPr>
          <w:b/>
        </w:rPr>
        <w:t>E. 14</w:t>
      </w:r>
    </w:p>
    <w:p>
      <w:r>
        <w:t>a.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w:t>
      </w:r>
    </w:p>
    <w:p>
      <w:r>
        <w:t>A/3082/2018 - 27/28 -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b. Il se justifie de mettre partiellement les frais d’expertise à la charge de l’intimé, dès lors qu’il a pris la décision querellée sur la base d’une expertise fondée sur un dossier incomplet et qui n’était pas suffisamment motivée. L’expertise étant également justifiée par la nécessité d’analyser le cas avec les indicateurs développés par le Tribunal fédéral selon une jurisprudence postérieure à la décision querellée, la moitié des frais d’expertise sera laissée à la charge de l’État.</w:t>
      </w:r>
    </w:p>
    <w:p>
      <w:r>
        <w:rPr>
          <w:b/>
        </w:rPr>
        <w:t>E. 15</w:t>
      </w:r>
    </w:p>
    <w:p>
      <w:r>
        <w:t>Un émolument de CHF 500.- sera mis à la charge de l’intimé (art. 69 al. 1bis LAI).</w:t>
      </w:r>
    </w:p>
    <w:p>
      <w:r>
        <w:t>A/3082/2018 - 28/28 -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