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ATAS/724/2011 vom 28. Juli 2011</w:t>
      </w:r>
    </w:p>
    <w:p>
      <w:r>
        <w:t>GE Cour de justice, 2011-07-28, FR</w:t>
      </w:r>
    </w:p>
    <w:p>
      <w:r>
        <w:rPr>
          <w:b/>
        </w:rPr>
        <w:t xml:space="preserve">Quelle: </w:t>
      </w:r>
      <w:r>
        <w:t>https://mcp.opencaselaw.ch/entscheid/ge_gerichte_ATAS_724_2011</w:t>
      </w:r>
    </w:p>
    <w:p>
      <w:r>
        <w:t>FR: GE_GERICHTE ATAS/724/2011 du 28 juillet 2011</w:t>
      </w:r>
    </w:p>
    <w:p>
      <w:r>
        <w:t>IT: GE_GERICHTE ATAS/724/2011 del 28 luglio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Interjeté dans les formes et délai prévus par la loi, le présent recours est recevable (art. 56 à 61 LPGA et 38 al. 4 let. c LPGA p.a.).</w:t>
      </w:r>
    </w:p>
    <w:p>
      <w:r>
        <w:t>A/224/2011 - 8/12 -</w:t>
      </w:r>
    </w:p>
    <w:p>
      <w:r>
        <w:rPr>
          <w:b/>
        </w:rPr>
        <w:t>E. 3</w:t>
      </w:r>
    </w:p>
    <w:p>
      <w:r>
        <w:t>Le litige porte sur la question de savoir si c’est à juste titre que l’OAI a refusé, par décision du 8 décembre 2010, d’augmenter le taux de la rente d’invalidité allouée au recourant.</w:t>
      </w:r>
    </w:p>
    <w:p>
      <w:r>
        <w:rPr>
          <w:b/>
        </w:rPr>
        <w:t>E. 4</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w:t>
      </w:r>
    </w:p>
    <w:p>
      <w:r>
        <w:t>A/224/2011 - 9/12 -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il convient de comparer les faits tels qu’ils se présentaient au moment de la décision sur opposition du 18 janvier 2007 à ceux ayant conduit à la décision du 8 décembre 2010. a) Appelée à se prononcer dans le cadre de la procédure administrative ayant abouti à la décision sur opposition du 18 janvier 2007, la Dresse P_________ a essentiellement retenu, dans son rapport du 2 novembre 2005, les diagnostics de spondylo-discarthrose sans radiculopathie, de séquelles de maladie de Scheuermann et de spondylose hyperostosante probable, diagnostics qui engendraient, depuis 2002, une totale incapacité de travail dans les précédentes activités lucratives. Hormis la pathologie lombaire du recourant, elle a notamment constaté, à l’examen clinique, que celui-ci était obèse, déconditionné, avec d’évidents facteurs de risques cardio-vasculaires, lesquels étaient insuffisamment contrôlés, étant précisé que sa capacité d’effort était limitée, d’une part, par une dyspnée et, d’autre part, par des douleurs de la jonction lombo-sacrée . Elle a considéré que la capacité de travail du recourant était de 80%, avec une diminution de rendement de 20%, dans une activité légère, semi-sédentaire, permettant d’alterner les positions, d’éviter le port de charges de plus de 10 kilogrammes, les positions en porte-à-faux, les vibrations, ou encore le travail en terrain instable, par exemple sur une échelle. Une diminution</w:t>
      </w:r>
    </w:p>
    <w:p>
      <w:r>
        <w:t>A/224/2011 - 10/12 - de rendement de 20% avait été retenue, car le recourant avait besoin de périodes de repos plus longues au cours de la journée. Ce sont ces éléments qui ont conduit à l’époque l’OAI à admettre une capacité de travail de 65% dans une activité adaptée. b) Dans le cadre de la procédure de révision, la Dresse S_________ a répété à plusieurs reprises que les atteintes lombaires du recourant n’avaient pas évolué depuis 2004, signalant notamment que les limitations fonctionnelles dues auxdites atteintes étaient identiques à celles décrites par le Dr N_________ en 2004. S’agissant des atteintes cardio-vasculaires, le Dr R_________ a mis en exergue, lors de ses examens des 28 mars 2007 et 24 septembre 2009, une discrète sténose aortique et une dyspnée à l’effort (difficultés respiratoires). Dans ses rapports subséquents, il a déterminé que les atteintes cardio-vasculaires et l’obésité de l’assuré contribuaient à la dyspnée et, après avoir énuméré les nombreuses limitations fonctionnelles rencontrées, a conclu à la totale incapacité de l’assuré à exercer une activité physique. Le médecin ne s’est en revanche pas prononcé sur la capacité du recourant à exercer une activité adaptée. Quant à la Dresse S_________, elle a estimé, dans son rapport du 27 juin 2009, que la discrète sténose aortique n’avait pas de répercussion sur la capacité de travail de son patient. c) La Cour de céans constate au vu de ces rapports que l’état de l’assuré au niveau lombaire n’a pas évolué depuis janvier 2007. Force est également de relever que la dyspnée d’effort était également présente avant 2007, même si ce n’est qu’alors que les causes de cette dyspnée ont été objectivées par les tests menés par le cardiologue. En effet, tant le Dr O_________ que la Dresse P_________ avaient déjà noté la présence d’une dyspnée limitant la capacité d’effort. La Dresse P_________ en avait d’ailleurs tenu compte, dans son rapport d’expertise du 2 novembre 2005, en dressant la liste des limitations fonctionnelles rencontrées par le recourant, ainsi que pour évaluer sa capacité de travail et la diminution de rendement. Il est vrai qu’en 2010, les limitations fonctionnelles retenues par le Dr T_________, médecin auprès du SMR, sont un peu plus étendues qu’en 2007, puisqu’au nombre des limitations précédemment évoquées ont été ajoutés le fait de devoir éviter le port de charges de plus de 3 kg et la montée d’escaliers. Cependant, cela ne constitue pas une détérioration suffisante pour influencer la capacité de travail de l’assuré. On relèvera à cet égard que les médecins du recourant ont indiqué d’une part, que la discrète sténose aortique n’avait pas de répercussion sur sa capacité de travail et d’autre part, que l’intéressé restait capable d’accomplir une activité</w:t>
      </w:r>
    </w:p>
    <w:p>
      <w:r>
        <w:t>A/224/2011 - 11/12 - adaptée. La capacité de travail de 65% précédemment retenue dans une activité sédentaire et adaptée aux limitations fonctionnelles reste donc inchangée. Il doit dès lors être conclu que l’état de santé du recourant ne s’est pas aggravé au point d’influencer son droit aux prestations.</w:t>
      </w:r>
    </w:p>
    <w:p>
      <w:r>
        <w:rPr>
          <w:b/>
        </w:rPr>
        <w:t>E. 6</w:t>
      </w:r>
    </w:p>
    <w:p>
      <w:r>
        <w:t>Reste à examiner la question de l’âge du recourant, invoquée par ce dernier, et plus particulièrement celle de savoir si cela constitue un motif d’augmentation de rente. Dans un arrêt récent, le Tribunal fédéral a rappelé que la question de savoir si un assuré a droit à une rente et celle de savoir si un assuré déjà bénéficiaire d'une rente partielle a droit à une augmentation de celle-ci s'apprécie différemment. Dans le premier cas, il s'agit effectivement de déterminer l'impact concret d'une atteinte à la santé sur la capacité de travail de l’assuré et les conséquences économiques qui en découlent au moment de la naissance du droit à la rente tandis que, dans le second, il s'agit d'examiner si un changement de circonstances important susceptible d'influencer le taux d'invalidité évalué antérieurement s'est produit. Si l'âge exerce une influence certaine dans l'évaluation du degré d'invalidité, dès lors qu'il intervient indirectement comme critère de réduction du revenu d'invalide (cf. ATF 126 V 75 consid. 5b/aa-cc p. 79) et directement lorsqu'il s'agit d'appréhender la situation particulière d'un assuré qui a atteint un «âge avancé» au moment de la naissance de droit (cf. notamment arrêts 9C_918/2008 du 28 mai 2009 consid. 4.2.2, 9C_437/2008 du 19 mars 2009 consid. 4 in SVR 2009 IV n° 35 p. 97 et I 819/04 du 27 mai 2005 consid. 2.2 et les références), tel ne saurait être le cas lors de l'examen des conditions d'une révision. En effet, l'écoulement du temps, qui ne constitue pas une atteinte à la santé au sens de l'art. 3 et 4 LPGA (cf. arrêt 9C_844/2009 du 29 mars 2010 consid. 5)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(arrêt non publié du Tribunal fédéral 9C_50/2010 du 6 août 2010). Eu égard à la jurisprudence précitée, l’âge atteint par le recourant au moment de la décision litigieuse ne saurait suffire à admettre une augmentation de rente. Par conséquent, c’est à juste titre que l’OAI a refusé d’augmenter le trois-quarts de rente par décision du 8 décembre 2010.</w:t>
      </w:r>
    </w:p>
    <w:p>
      <w:r>
        <w:rPr>
          <w:b/>
        </w:rPr>
        <w:t>E. 7</w:t>
      </w:r>
    </w:p>
    <w:p>
      <w:r>
        <w:t>Partant, le recours, mal fondé en tous points, doit être rejeté. La procédure de recours en matière de contestations portant sur l’octroi ou le refus de prestations de l’AI étant soumise à des frais de justice (art. 69 al. 1bis LAI), un émolument de 200 fr. sera mis à la charge du recourant.</w:t>
      </w:r>
    </w:p>
    <w:p>
      <w:r>
        <w:t>A/224/2011 - 12/12 -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