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ATAS/723/2015 vom 28. September 2015</w:t>
      </w:r>
    </w:p>
    <w:p>
      <w:r>
        <w:t>GE Cour de justice, 2015-09-28, FR</w:t>
      </w:r>
    </w:p>
    <w:p>
      <w:r>
        <w:rPr>
          <w:b/>
        </w:rPr>
        <w:t xml:space="preserve">Quelle: </w:t>
      </w:r>
      <w:r>
        <w:t>https://mcp.opencaselaw.ch/entscheid/ge_gerichte_ATAS_723_2015</w:t>
      </w:r>
    </w:p>
    <w:p>
      <w:r>
        <w:t>FR: GE_GERICHTE ATAS/723/2015 du 28 septembre 2015</w:t>
      </w:r>
    </w:p>
    <w:p>
      <w:r>
        <w:t>IT: GE_GERICHTE ATAS/723/2015 del 28 settembre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en vertu des art. 56 ss LPGA.</w:t>
      </w:r>
    </w:p>
    <w:p>
      <w:r>
        <w:rPr>
          <w:b/>
        </w:rPr>
        <w:t>E. 4</w:t>
      </w:r>
    </w:p>
    <w:p>
      <w:r>
        <w:t>Le litige porte sur le droit de la recourante à des prestations de l'assurance-invalidité suite à sa demande du 2 mai 2013.</w:t>
      </w:r>
    </w:p>
    <w:p>
      <w:r>
        <w:rPr>
          <w:b/>
        </w:rPr>
        <w:t>E. 5</w:t>
      </w:r>
    </w:p>
    <w:p>
      <w:r>
        <w:t>Aux termes de l’art. 4 LAI, l’invalidité (art. 8 LPGA) peut résulter d’une infirmité congénitale, d’une maladie ou d’un accident (al. 1er). L’invalidité est réputée survenue dès qu’elle est, par sa nature et sa gravité, propre à ouvrir droit aux prestations entrant en considération (al. 2).</w:t>
      </w:r>
    </w:p>
    <w:p>
      <w:r>
        <w:t>A/3739/2014 - 10/20 -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 du Tribunal fédéral des assurances I 786/04 du 19 janvier 2006 consid. 3.1).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En vertu de l’art. 28 al. 2 LAI, l’assuré a droit à une rente entière s’il est invalide à 70% au moins, à un trois-quarts de rente s'il est invalide à 60% au moins, à une demi-rente s’il est invalide à 50% au moins, ou à un quart de rente s’il est invalide à 40% au moins b. Aux termes de l’art. 8 al. 1er LPGA, est réputée invalidité l’incapacité de gain totale ou partielle qui est présumée permanente ou de longue durée, résultant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 correspondant à une perte de gain ou à une incapacité à vaquer à ses occupations habituelles liée à l'invalidité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l'assurance-invalidité d'indemniser une perte -</w:t>
      </w:r>
    </w:p>
    <w:p>
      <w:r>
        <w:t>A/3739/2014 - 11/20 - hypothétique - de revenu ou de capacité à vaquer à ses occupations habituelles relative à des activités que la personne assurée n'aurait jamais exercées en l'absence d'atteinte à la santé. En choisissant de ne pas travailler, la personne assurée a ainsi délibérément renoncé au salaire qu'elle aurait pu réaliser en travaillant; l'absence de revenu consécutive à ce choix ne résulte pas de facteurs médicaux et ne saurait être compensée, pour quelque raison que ce soit, par l'assurance-invalidité (cf. ATF 137 V 334 consid. 5.5.3 p. 345). c.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sans activité lucrative, assuré exerçant une activité lucrative à temps partiel.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w:t>
      </w:r>
    </w:p>
    <w:p>
      <w:r>
        <w:t>A/3739/2014 - 12/20 -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Pour déterminer la méthode applicable au cas particulier, il faut non pas, malgré la teneur de l'art. 8 al. 3 LPGA, chercher à savoir dans quelle mesure l'exercice d'une activité lucrative aurait été exigible de la part de l'assuré, mais se demander ce que l'assuré aurait fait si l'atteinte à la santé n'était pas survenue (ATF 133 V 504 consid. 3.3. p. 507; pour le cas des rentiers et des assurés qui ont pris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w:t>
      </w:r>
    </w:p>
    <w:p>
      <w:r>
        <w:t>A/3739/2014 - 13/20 - Dans l'arrêt 9C_36/2013 du 21 juin 2013, le Tribunal fédéral a relevé que l'absence d'exercice d'une activité lucrative avant la survenance de l'atteinte à la santé n'induisait pas nécessairement l'application de la méthode spécifique d'évaluation de l'invalidité à la personne assurée concernée. En effet, les travaux habituels qui peuvent être assimilés à l'exercice d'une activité lucrative et que l'on peut dès lors prendre en compte, par le biais de la méthode spécifique, pour l'évaluation de l'invalidité sont les travaux du ménage (y compris l'éducation des enfants), le fait de suivre une formation, toute activité artistique ou d'utilité publique ou encore les travaux auxquels se consacrent les communautés religieuses (art. 27 RAI; cf. Message du Conseil fédéral concernant la 4e révision de la loi fédérale sur l'assurance-invalidité, FF 2001 IV 3110).</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A/3739/2014 - 14/20 -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Pour évaluer l'invalidité des assurés travaillant dans le ménage, l'administration procède à une enquête sur les activités ménagères et fixe l'empêchement dans chacune des activités habituelles conformément au chiffre 3095 de la circulaire concernant l'invalidité et l'impotence de l'assurance-invalidité. Aux conditions posées par la jurisprudence (ATF 128 V 93)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w:t>
      </w:r>
    </w:p>
    <w:p>
      <w:r>
        <w:t>A/3739/2014 - 15/20 -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Il résulte des considérations qui précèdent que c'est à juste titre que l'OAI a nié le droit de l'assurée à des prestations de l'assurance-invalidité. Infondé, le recours sera rejeté.</w:t>
      </w:r>
    </w:p>
    <w:p>
      <w:r>
        <w:rPr>
          <w:b/>
        </w:rPr>
        <w:t>E. 11</w:t>
      </w:r>
    </w:p>
    <w:p>
      <w:r>
        <w:t>La recourante, qui succombe, sera condamnée au paiement d'un émolument de CHF 200.- (art. 69 al. 1bis LAI).</w:t>
      </w:r>
    </w:p>
    <w:p>
      <w:r>
        <w:t>A/3739/2014 - 20/20 -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