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ATAS/723/2014 vom 16. Juni 2014</w:t>
      </w:r>
    </w:p>
    <w:p>
      <w:r>
        <w:t>GE Cour de justice, 2014-06-16, FR</w:t>
      </w:r>
    </w:p>
    <w:p>
      <w:r>
        <w:rPr>
          <w:b/>
        </w:rPr>
        <w:t xml:space="preserve">Quelle: </w:t>
      </w:r>
      <w:r>
        <w:t>https://mcp.opencaselaw.ch/entscheid/ge_gerichte_ATAS_723_2014</w:t>
      </w:r>
    </w:p>
    <w:p>
      <w:r>
        <w:t>FR: GE_GERICHTE ATAS/723/2014 du 16 juin 2014</w:t>
      </w:r>
    </w:p>
    <w:p>
      <w:r>
        <w:t>IT: GE_GERICHTE ATAS/723/2014 del 16 giugno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force le 1er janvier 2003, est applicable au présent litige.</w:t>
      </w:r>
    </w:p>
    <w:p>
      <w:r>
        <w:rPr>
          <w:b/>
        </w:rPr>
        <w:t>E. 3</w:t>
      </w:r>
    </w:p>
    <w:p>
      <w:r>
        <w:t>Interjeté dans les forme et délai prévus par la loi, le recours est recevable (art. 56 ss LPGA).</w:t>
      </w:r>
    </w:p>
    <w:p>
      <w:r>
        <w:rPr>
          <w:b/>
        </w:rPr>
        <w:t>E. 4</w:t>
      </w:r>
    </w:p>
    <w:p>
      <w:r>
        <w:t>Le litige porte sur le droit de la recourante à une rente d'invalidité et à des mesures d’ordre professionnel.</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w:t>
      </w:r>
    </w:p>
    <w:p>
      <w:r>
        <w:t>A/3778/2013 - 12/19 -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w:t>
      </w:r>
    </w:p>
    <w:p>
      <w:r>
        <w:t>A/3778/2013 - 13/19 -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(Arrêt du Tribunal fédéral des assurances I 170/06 du 16 février 2007 consid. 3.2 et 3.4).</w:t>
      </w:r>
    </w:p>
    <w:p>
      <w:r>
        <w:rPr>
          <w:b/>
        </w:rPr>
        <w:t>E. 7</w:t>
      </w:r>
    </w:p>
    <w:p>
      <w:r>
        <w:t>Il existe différentes méthodes pour évaluer l'invalidité d'un assuré en fonction du statut de ce dernier. a)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Si pour des raisons étrangères à l'invalidité, qui peuvent être liées à l'absence de formation scolaire ou professionnelles, aux connaissances linguistiques ou au statut de l'assuré, celui-ci a touché un revenu clairement inférieur à la moyenne, il y a lieu d'en tenir compte lors de l'évaluation de l'invalidité selon l'art. 16 LPGA s'il est établi que l'assuré n'entendait pas s'en contenter. Ce parallélisme des revenus se fera soit en tenant compte d'un revenu sans invalidité plus élevé que le revenu effectivement touché, soit en le fondant sur des valeurs statistiques, soit en diminuant la valeur statistique du revenu d'invalide (ATF 134 V 322 consid. 4.1 et les références).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w:t>
      </w:r>
    </w:p>
    <w:p>
      <w:r>
        <w:t>A/3778/2013 - 14/19 -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L'étendue de l'abattement justifié dans un cas concret relève du pouvoir d'appréciation (ATF 132 V 393 consid. 3.3). Conformément à l'art. 61 al. 1 let. a de la loi sur la procédure administrative (LPA - E 5 10), seul l'abus ou l'excès du pouvoir d'appréciation peut être revu par le Tribunal de céans. Il y a notamment excès de pouvoir d'appréciation négatif lorsque l'autorité renonce à faire usage de son pouvoir d'appréciation (ATF 116 V 307 consid. 2). b) Aux termes de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en fonction de son incapacité à accomplir ses travaux habituels. Dans ce cas, les parts respectives de l’activité lucrative ou du travail dans l’entreprise du conjoint et de l’accomplissement des travaux habituels sont déterminées; le taux d’invalidité est calculé dans les deux domaines d’activité. C'est la méthode mixte d'évaluation de l'invalidité (Arrêt du Tribunal fédéral des assurances I 288/06 du 20 avril 2007 consid. 3.2.5).</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w:t>
      </w:r>
    </w:p>
    <w:p>
      <w:r>
        <w:rPr>
          <w:b/>
        </w:rPr>
        <w:t>E. 9</w:t>
      </w:r>
    </w:p>
    <w:p>
      <w:r>
        <w:t>En l’espèce, l’incapacité de travail de la recourante dans son activité habituelle de concierge n’est pas contestée. Le SMR s’est en effet rallié aux conclusions du Dr L______, dont l’expertise s’est vu reconnaître une pleine valeur probante par la Chambre de céans dans son arrêt du 4 décembre 2012.</w:t>
      </w:r>
    </w:p>
    <w:p>
      <w:r>
        <w:t>A/3778/2013 - 15/19 - La pondération des champs d’activité – soit le statut d’active à 50 % – n’est pas non plus discutée, la recourante ne déclarant pas qu’elle aurait souhaité augmenter son taux d’activité sans atteinte à la santé. a) S’agissant des empêchements de la recourante de procéder aux travaux habituels dans son ménage, ils ont fait l’objet d’une enquête à son domicile.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consid. 4). La Circulaire sur l’invalidité et l’impotence dans l’assurance- invalidité (CIIAI) éditée par l’Office fédéral des assurances prévoit des pourcentages minimaux et maximaux pour chaque activité (ch. 3086). Dans ce cadre, la part en pourcent accordée à chacun des postes relève du pouvoir d'appréciation, qui dépend d'une évaluation des circonstances concrètes de la situation en cause (Arrêt du Tribunal fédéral 9C_19/2012 du 4 octobre 2012 consid. 5.1). Le rapport établi en mars 2013 par l’enquêtrice de l’intimé correspond aux exigences formelles exposées ci-dessus. Chaque poste du ménage est détaillé et la manière dont la recourante s’en charge est scrupuleusement consignée, l’enquêtrice ayant également indiqué lorsque c’était le cas à quelles tâches ou activités celle-ci avait dû renoncer en raison de son atteinte à la santé. En ce qui concerne la mesure dans laquelle les empêchements ont été pris en considération, on rappellera que l’obligation de diminuer le dommage est un principe général des assurances sociales (ATF 129 V 460 consid. 4.2). Dans le cadre du ménage, cette obligation implique que la personne assurée est notamment tenue d'adopter une méthode de travail adéquate, de répartir son travail en conséquence et de demander l'aide de ses proches dans une mesure convenable (ATF 133 V 504 consid. 4.2 et les références). S’agissant en particulier des repas, il ressort du rapport d’enquête que la recourante – à l’exception de la confection hebdomadaire de desserts et d’invitations toutes les trois semaines – continue à s’occuper des repas comme auparavant, en optant toutefois occasionnellement pour des plats un peu plus simples. Si ces tâches lui prennent plus de temps qu’avant la survenance de l’atteinte à la santé, elles restent exigibles conformément à son obligation de réduire le dommage. De plus, la préparation des repas et le nettoyage de la cuisine dans un cadre familial ne</w:t>
      </w:r>
    </w:p>
    <w:p>
      <w:r>
        <w:t>A/3778/2013 - 16/19 - constituent pas des travaux lourds tombant sous le coup des limitations retenues par le Dr L______. Partant, l’empêchement retenu dans ce poste ne prête pas flanc à la critique. La recourante ne remet pas expressément en cause les autres postes, qui appellent les remarques suivantes. Les difficultés de la recourante dans l’entretien du logement ont été largement prises en considération, puisque malgré l’aide accrue qu’on peut attendre de sa famille, un empêchement de 45 % a été retenu. Pour les courses, la recourante les effectuait déjà en compagnie de son époux avant l’atteinte à la santé, de sorte que ses douleurs n’ont qu’un très faible retentissement sur l’accomplissement de cette tâche. En effet, il est exigible que son mari s’occupe désormais seul de charger et décharger les courses du ménage. Quant aux lessives, la recourante reste – avec des difficultés certes accrues – en mesure de s’en occuper. C’est donc à juste titre que l’enquêtrice n’a pas admis d’empêchement sur ce point, eu égard à l’obligation de diminuer le dommage de la recourante et à l’aide de ses proches. De plus, contrairement à ce qu’allègue la recourante, le rapport fournit des explications claires sur l’exigibilité de l’aide de son mari et de son fils pour ces tâches. Partant, la Chambre de céans ne s’écartera pas du degré d’invalidité de 13.5 % dans la sphère ménagère. b) Il convient donc de déterminer si le calcul du degré d’invalidité dans la sphère professionnelle auquel a procédé l’intimé est conforme aux dispositions légales précitées. L’intimé a admis que son calcul initial était erroné dans sa réponse du 22 janvier 2014. Il y a donc lieu de se référer au nouveau calcul du 9 janvier 2014. C’est à juste titre que l’intimé s’est référé pour le revenu sans invalidité à celui indiqué pour 2009 par l’employeur dans son questionnaire du 14 juillet 2010, soit CHF 39'065.- Indexé en fonction de l’Indice suisse des salaires (ISS), le revenu sans invalidité aurait ainsi été de CHF 39'889,66 en 2011. Le recours au salaire statistique pour déterminer le revenu d’invalide est également conforme à la jurisprudence. Selon l’ESS 2010, le revenu statistique pour une femme dans une activité simple et répétitive était de CHF 4'225.- par mois pour 40 heures par semaine, soit CHF 50'700.- par an. Adapté à la durée hebdomadaire de travail de 41.6 heures en 2011 et indexé, le revenu annuel d’invalide s’élève ainsi à CHF 53'383,30 à plein temps et à CHF 26'691,65 à 50 %. La recourante conteste la réduction statistique opérée par l’intimé. En tenant compte d’un abattement de 10 %, l’intimé est toutefois resté dans les limites de son pouvoir d’appréciation, et ce même si cette déduction se situe dans la limite inférieure de la fourchette. Partant, la Chambre de céans ne peut revoir ce point, conformément aux dispositions légales. De plus, le critère avancé par la recourante pour justifier une réduction supplémentaire, soit le faible niveau de formation, n’est</w:t>
      </w:r>
    </w:p>
    <w:p>
      <w:r>
        <w:t>A/3778/2013 - 17/19 - pas pertinent, dès lors qu’il existe un large éventail d’activités accessibles sans connaissances particulières sur le marché du travail. Selon la recourante, son rendement n’est que de 75 %, même pour un emploi à mi- temps. Sur ce point, on rappellera que le Dr L______ a admis une baisse de rendement de 25 % pour une activité exercée à temps plein afin de tenir compte de la nécessité de prendre de courtes pauses et de changer de position afin d’éviter la survenance de douleurs importantes. On peut se demander si la baisse de rendement est de 25 % même en cas d’activité exercée à mi-temps, dès lors que la fatigue entraînée par un horaire réduit de moitié serait moindre, ce qui pourrait éventuellement diminuer la nécessité de prendre des pauses. Cette question peut toutefois rester ouverte en l’espèce. En effet, une diminution de rendement de 25 % assortie d’un abattement de 10 % (soit 35 % en tout) sur le revenu avec invalidité de CHF 26'691,65 porte ce revenu à CHF 17'349,57. En comparant ce revenu au salaire sans invalidité de CHF 39'889,66, le degré d’invalidité serait ainsi de 56.51 % dans la sphère professionnelle. Si l’on faisait abstraction de la diminution de rendement de 25 % pour appliquer la seule déduction statistique de 10 %, le revenu d’invalide s’élèverait à CHF 24'022,49 (soit CHF 26'691,65 après soustraction de 10 %). La comparaison des revenus sans et avec invalidité aboutit dans ce cas à un taux d’invalidité de 39.78 % pour la part active. Or, pour déterminer le degré d’invalidité global, il y a lieu de tenir compte également du degré d’invalidité de 13.5 % dans les tâches ménagères. Si l’on retient le degré d’invalidité de 56.51 % dans la sphère professionnelle, établi en prenant en considération une diminution de rendement de 25 %, le taux global d’invalidité global serait de 35 % (56.51 % et 13.5 % pondérés chacun par un facteur d’une demi). Si on se réfère en revanche au degré d’invalidité dans la sphère professionnelle calculé sans diminution de rendement, soit 39.78 %, le taux d’invalidité global serait de 26.64 % (39.78 % et 13.5 % pondérés chacun par un facteur d’une demi). Dans les deux cas, le degré minimal de 40 % ouvrant le droit à une rente selon l’art. 28 al. 2 LAI n’est pas atteint. Ces taux sont en revanche supérieurs à celui qui ouvre le droit à des mesures d’ordre professionnel selon la jurisprudence citée, ce que l’intimé a d’ailleurs admis dans sa réponse du 22 janvier 2014. Or, si de telles mesures font formellement l’objet du litige au vu du libellé de la décision querellée, les parties ne se sont pas prononcées sur leur octroi. Par conséquent, le dossier sera renvoyé à l’intimé pour examen du droit à de telles mesures.</w:t>
      </w:r>
    </w:p>
    <w:p>
      <w:r>
        <w:rPr>
          <w:b/>
        </w:rPr>
        <w:t>E. 10</w:t>
      </w:r>
    </w:p>
    <w:p>
      <w:r>
        <w:t>Eu égard aux éléments qui précèdent, le recours est partiellement admis. La recourante, qui obtient partiellement gain de cause, a droit à des dépens qu’il convient de fixer à CHF 1'500.-</w:t>
      </w:r>
    </w:p>
    <w:p>
      <w:r>
        <w:t>A/3778/2013 - 18/19 - La procédure n'étant pas gratuite en matière d’assurance-invalidité, l'intimé supportera l’émolument de CHF 500.- (art. 69 al. 1bis LAI).</w:t>
      </w:r>
    </w:p>
    <w:p>
      <w:r>
        <w:t>A/3778/2013 - 19/19 -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