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ATAS/723/2008 vom 18. Juni 2008</w:t>
      </w:r>
    </w:p>
    <w:p>
      <w:r>
        <w:t>GE Cour de justice, 2008-06-18, FR</w:t>
      </w:r>
    </w:p>
    <w:p>
      <w:r>
        <w:rPr>
          <w:b/>
        </w:rPr>
        <w:t xml:space="preserve">Quelle: </w:t>
      </w:r>
      <w:r>
        <w:t>https://mcp.opencaselaw.ch/entscheid/ge_gerichte_ATAS_723_2008</w:t>
      </w:r>
    </w:p>
    <w:p>
      <w:r>
        <w:t>FR: GE_GERICHTE ATAS/723/2008 du 18 juin 2008</w:t>
      </w:r>
    </w:p>
    <w:p>
      <w:r>
        <w:t>IT: GE_GERICHTE ATAS/723/2008 del 18 giugno 2008</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 obligatoire prévue par la loi fédérale sur l’assurance- accident du 20 mars 1981. Sa compétence pour juger du cas d’espèce est ainsi établie.</w:t>
      </w:r>
    </w:p>
    <w:p>
      <w:r>
        <w:rPr>
          <w:b/>
        </w:rPr>
        <w:t>E. 2</w:t>
      </w:r>
    </w:p>
    <w:p>
      <w:r>
        <w:t>Le recours a été déposé dans le délai de 30 jours prescrit par l'art. 60 LPGA. Le recours et la demande respectent par ailleurs la forme prévue aux art. 61 LPGA et 89B de la loi sur la procédure administrative du 12 septembre 1985. Partant, le recours et la demande sont recevables.</w:t>
      </w:r>
    </w:p>
    <w:p>
      <w:r>
        <w:rPr>
          <w:b/>
        </w:rPr>
        <w:t>E. 3</w:t>
      </w:r>
    </w:p>
    <w:p>
      <w:r>
        <w:t>Il sied en premier lieu d'examiner si l'assuré peut prétendre à la prise en charge des frais de traitement dans le cadre de l'assurance obligatoire et des soins.</w:t>
      </w:r>
    </w:p>
    <w:p>
      <w:r>
        <w:rPr>
          <w:b/>
        </w:rPr>
        <w:t>E. 4</w:t>
      </w:r>
    </w:p>
    <w:p>
      <w:r>
        <w:t>L'assurance maladie sociale alloue également des prestations en cas d'accident, dans la mesure où aucune assurance-accidents n'en assume la prise en charge (art. 1a al. 2 LAMal). Elle prend alors en charge les coûts des mêmes prestations qu'en cas de maladie (art. 28 LAMal). L'art. 31 al. 2 LAMal dispose que l'assurance couvre aussi les coûts du traitement des lésions du système de la mastication causées par un accident.</w:t>
      </w:r>
    </w:p>
    <w:p>
      <w:r>
        <w:rPr>
          <w:b/>
        </w:rPr>
        <w:t>E. 5</w:t>
      </w:r>
    </w:p>
    <w:p>
      <w:r>
        <w:t>En ce qui concerne le lien de causalité entre les lésions et un accident, il y a lieu de se référer à la jurisprudence rendue dans le cadre de la loi fédérale sur l'assurance- accident obligatoire du 20 mars 1981 (LAA).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w:t>
      </w:r>
    </w:p>
    <w:p>
      <w:r>
        <w:t>A/4963/2006 - 10/13 -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w:t>
      </w:r>
    </w:p>
    <w:p>
      <w:r>
        <w:rPr>
          <w:b/>
        </w:rPr>
        <w:t>E. 6</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t>A/4963/2006 - 11/13 -</w:t>
      </w:r>
    </w:p>
    <w:p>
      <w:r>
        <w:rPr>
          <w:b/>
        </w:rPr>
        <w:t>E. 7</w:t>
      </w:r>
    </w:p>
    <w:p>
      <w:r>
        <w:t>En l'espèce, l'assuré a fait valoir dans un premier temps qu'il a dû interrompre le traitement orthodontique pendant son adolescence à cause de la survenance de l'accident. Par la suite, il a allégué avoir dû attendre plusieurs années, dans la mesure où il n'était pas envisageable de recommencer immédiatement après l'accident le traitement commencé. Puis l'assuré a changé son argumentation, en affirmant que le traitement orthodontique litigieux était lié aux conséquences de son accident subi le 18 août 1999. Parallèlement, dans sa réplique du 25 mars 2007, il a admis qu'il considérait à l'époque que la position de ses dents était acceptable et que son souci principal était d'éviter un traitement. Ce n'est qu'à l'âge adulte qu'il était devenu conscient de l'importance de bénéficier d'une mâchoire en bonne santé et en bon état. En premier lieu, il convient de relever que, selon la jurisprudence constante, la préférence doit être donnée aux premières déclarations de l'intéressé, faites alors qu'il en ignorait peut-être les conséquences juridiques, car les explications nouvelles peuvent être - consciemment ou non - le fruit de réflexions ultérieures (ATF 121 V 45 consid. 2 a p. 47; 115 V 143 consid. 8 c). Partant, il y a lieu de se fonder essentiellement sur sa première version des faits, selon laquelle le traitement litigieux est la continuation d'un traitement commencé pendant l'adolescence. Il résulte de surcroît des pièces du dossier, soit de la lettre du 12 décembre 2005 de la Dresse L__________, que le traitement orthodontique a été interrompu pendant l'adolescence de l'assuré pour non collaboration. Celui-ci admet par ailleurs qu'il ne voyait pas à l'époque la nécessité d'entreprendre un traitement orthodontique. Cela devait être a fortiori le cas avant la survenance de l'accident. En tout état de cause, il n'est pas établi au degré de vraisemblance prépondérante que le traitement orthodontique litigieux a été rendu nécessaire en raison de lésions subies lors de l'accident. En effet, d'une part, le Dr Q_________ a posé le même diagnostic que la Dresse L__________ pendant l'adolescence de l'assuré, comme cela ressort du courrier adressé par ce premier médecin le 19 septembre 2007 au Tribunal de céans. En outre, concernant l'appréciation du lien de causalité entre l'accident et les malformations, il dit clairement que l'accident "peut avoir été suffisant pour provoquer plus de trois quarts de la récidive". Or, comme relevé ci- dessus, la seule possibilité entre un lien de causalité et l'accident est insuffisante. Une récidive due à l'accident semble également peu vraisemblable compte tenu de l'interruption prématurée du traitement orthodontique, dès lors que, comme le médecin-conseil de la caisse l'a expliqué de façon convaincante et sans être contredit par le Dr Q___________, les dents peuvent reprendre dans ce cas leur position antérieure, lors de la dépose des appareils fixes. Cela étant, le traitement en cause n'est pas à la charge de l'assurance obligatoire des soins.</w:t>
      </w:r>
    </w:p>
    <w:p>
      <w:r>
        <w:t>A/4963/2006 - 12/13 -</w:t>
      </w:r>
    </w:p>
    <w:p>
      <w:r>
        <w:rPr>
          <w:b/>
        </w:rPr>
        <w:t>E. 8</w:t>
      </w:r>
    </w:p>
    <w:p>
      <w:r>
        <w:t>Il convient ensuite d'examiner si les prétentions de l'assuré peuvent être fondées sur l'assurance complémentaire pour décès ou invalidité par accident et frais de guérison généraux. a) Selon l'art. 16 let. h CGA cette assurance, "les traitements dentaires des enfants et adolescents ne pouvant être effectués qu'ultérieurement en raison du jeune âge de la personne assurée donnent lieu - dans la limite des frais de guérison assurés - à une indemnisation sur la base d'un devis estimatif des frais". En l'espèce, le recourant ne fait pas valoir que le traitement litigieux a dû être retardé à cause de son jeune âge, mais allègue qu'il a été différé en raison de l'accident. La Dresse L__________ a en outre clairement indiqué que le traitement qu'elle avait entrepris en 1998 et 1999 a été interrompu pour non collaboration, avec l'accord des parents. Cela étant, il convient de constater que, indépendamment de la prescription, les conditions de l'art. 16 let. h CGA ne sont pas remplies, de sorte que l'assuré ne peut fonder ses prétentions sur cette assurance complémentaire. b) La let. i de l'art. 16 CGA prévoit par ailleurs la prise en charge des prestations suivantes : "les opérations esthétiques faisant suite à un accident et effectuées par un fournisseur de prestations autorisées par la loi, jusqu'à CHF 10'000.- au maximum". En l'espèce, comme relevé ci-dessus, il ne peut être prouvé avec le degré de vraisemblance légalement exigé que l'intervention orthodontique a été rendue nécessaire à cause de l'accident de l'assuré. Il appert de surcroît que le droit à ces prestations est prescrit. En effet, , aux termes de l'art. 46 al. 1 de la loi fédérale sur le contrat d'assurance du 2 avril 1908 (LCA), les créances qui dérivent du contrat d'assurance se prescrivent par deux ans à dater du fait d'où naît l'obligation. En l'occurrence, c'est la date de l'accident du 18 août 1999 ou du moins le moment à partir duquel l'état était stabilisé qui fait partir ce délai. Or, selon toute vraisemblance, cela était le cas au plus tard une année après l'accident. Il ne saurait non plus être reproché à la caisse d'être responsable de l'expiration de ce délai pour avoir tardé à répondre, dans la mesure où l'assuré n'a fait valoir sa créance pour la première fois que le 14 juillet 2005.</w:t>
      </w:r>
    </w:p>
    <w:p>
      <w:r>
        <w:rPr>
          <w:b/>
        </w:rPr>
        <w:t>E. 9</w:t>
      </w:r>
    </w:p>
    <w:p>
      <w:r>
        <w:t>Au vu de ce qui précède, la demande et le recours seront rejetés.</w:t>
      </w:r>
    </w:p>
    <w:p>
      <w:r>
        <w:t>A/4963/2006 - 13/13 -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