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ATAS/722/2021 vom 30. Juni 2021</w:t>
      </w:r>
    </w:p>
    <w:p>
      <w:r>
        <w:t>GE Cour de justice, 2021-06-30, FR</w:t>
      </w:r>
    </w:p>
    <w:p>
      <w:r>
        <w:rPr>
          <w:b/>
        </w:rPr>
        <w:t xml:space="preserve">Quelle: </w:t>
      </w:r>
      <w:r>
        <w:t>https://mcp.opencaselaw.ch/entscheid/ge_gerichte_ATAS_722_2021</w:t>
      </w:r>
    </w:p>
    <w:p>
      <w:r>
        <w:t>FR: GE_GERICHTE ATAS/722/2021 du 30 juin 2021</w:t>
      </w:r>
    </w:p>
    <w:p>
      <w:r>
        <w:t>IT: GE_GERICHTE ATAS/722/2021 del 30 giugno 2021</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w:t>
      </w:r>
    </w:p>
    <w:p>
      <w:r>
        <w:t>A/1297/2020 5/7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26 août 1998, d’autre part, le 23 avril 2018, date à laquelle la demande en divorce a été déposée.</w:t>
      </w:r>
    </w:p>
    <w:p>
      <w:r>
        <w:rPr>
          <w:b/>
        </w:rPr>
        <w:t>E. 6</w:t>
      </w:r>
    </w:p>
    <w:p>
      <w:r>
        <w:t>L'instruction menée par la chambre de céans lui a permis d'établir précisément auprès de quelles institutions de prévoyance le demandeur avait été affilié durant le mariage. Malgré les recherches requises par le mandataire de la demanderesse, il n’a pas été possible d’établir l’existence d’éventuels autres avoirs LPP « occultes » qui auraient été éventuellement accumulés par le demandeur durant la période du mariage.</w:t>
      </w:r>
    </w:p>
    <w:p>
      <w:r>
        <w:t>A/1297/2020 6/7</w:t>
      </w:r>
    </w:p>
    <w:p>
      <w:r>
        <w:rPr>
          <w:b/>
        </w:rPr>
        <w:t>E. 7</w:t>
      </w:r>
    </w:p>
    <w:p>
      <w:r>
        <w:t>Il sied de rappeler que seules les cotisations effectivement versées peuvent être prises en considération dans le cadre d'une procédure visant au partage des prestations de sortie en matière de prévoyance professionnelle (ATAS/1365/2012 et arrêt du Tribunal fédéral 9C_13/2013).</w:t>
      </w:r>
    </w:p>
    <w:p>
      <w:r>
        <w:rPr>
          <w:b/>
        </w:rPr>
        <w:t>E. 8</w:t>
      </w:r>
    </w:p>
    <w:p>
      <w:r>
        <w:t>Selon les documents produits, la prestation acquise pendant le mariage par le demandeur est de CHF 118'768.92 (CHF 207'058.35 – [CHF 476.80 + CHF 38'257.60 + CHF 16'392.25]), ainsi que, déductions faites des intérêts calculés au jour de l’introduction de la demande de divorce, soit au 23 avril 2018, soit CHF 33'162.78 (CHF 290.27 + CHF 23'290.57 + CHF 9'581.94). La prestation acquise par la demanderesse est de CHF 7'136.74 (CHF 1'590.74 + CHF 5'546.-), les intérêts ayant déjà été calculés par les institutions de prévoyance défenderesses. Ainsi le demandeur doit à son ex-épouse le montant de CHF 59'384.46 (CHF 118'768.92 : 2) et celle-ci doit à celui-là le montant de CHF 3'568.37 (CHF 7'136.74 : 2), de sorte que c’est le demandeur qui doit à la demanderesse le montant de CHF 55'816.09.</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10</w:t>
      </w:r>
    </w:p>
    <w:p>
      <w:r>
        <w:t>Aucun émolument ne sera perçu, la procédure étant gratuite (art. 73 al. 2 LPP et 89H al. 1 de la loi sur la procédure administrative du 12 septembre 1985 (LPA-GE - E 5 10). ***</w:t>
      </w:r>
    </w:p>
    <w:p>
      <w:r>
        <w:t>A/1297/2020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