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https://mcp.opencaselaw.ch/entscheid/ge_gerichte_ATAS_722_2020</w:t>
      </w:r>
    </w:p>
    <w:p>
      <w:r>
        <w:t>FR: GE_GERICHTE ATAS/722/2020 du 31 août 2020</w:t>
      </w:r>
    </w:p>
    <w:p>
      <w:r>
        <w:t>IT: GE_GERICHTE ATAS/722/2020 del 31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</w:t>
      </w:r>
    </w:p>
    <w:p>
      <w:r>
        <w:t>A/2199/2020 - 3/4 -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Interjeté en temps utile, le recours est recevable (art. 60 LPGA).</w:t>
      </w:r>
    </w:p>
    <w:p>
      <w:r>
        <w:rPr>
          <w:b/>
        </w:rPr>
        <w:t>E. 3</w:t>
      </w:r>
    </w:p>
    <w:p>
      <w:r>
        <w:t>Le litige porte sur le bien-fondé de la décision du SPC de déclarer l’opposition du recourant du 19 novembre 2019 sans objet.</w:t>
      </w:r>
    </w:p>
    <w:p>
      <w:r>
        <w:rPr>
          <w:b/>
        </w:rPr>
        <w:t>E. 4</w:t>
      </w:r>
    </w:p>
    <w:p>
      <w:r>
        <w:t>En l’occurrence, après avoir décidé, le 28 octobre 2019, de suspendre l’examen de la demande de prestations du recourant du 6 mai 2019, le SPC a finalement rendu une décision calculant les prestations de celui-ci dès le 1er mai 2019 et annulant, de la sorte, la suspension de l’examen de la demande de prestations. C’est donc à juste titre que l’intimé a déclaré sans objet l’opposition du recourant à la décision du 28 octobre 2019. En revanche, l’opposition du recourant du 13 mars 2020, formée à l’encontre de la décision de prestations du 26 février 2020 et comprenant la question du bien-fondé de la prise en compte de biens dessaisis, est toujours pendante auprès de l’intimé, lequel devra rendre une décision sur opposition.</w:t>
      </w:r>
    </w:p>
    <w:p>
      <w:r>
        <w:rPr>
          <w:b/>
        </w:rPr>
        <w:t>E. 5</w:t>
      </w:r>
    </w:p>
    <w:p>
      <w:r>
        <w:t>Partant, le recours ne peut être que rejeté. Pour le surplus la procédure est gratuite.</w:t>
      </w:r>
    </w:p>
    <w:p>
      <w:r>
        <w:t>A/2199/2020 - 4/4 -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