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ATAS/722/2018 vom 22. August 2018</w:t>
      </w:r>
    </w:p>
    <w:p>
      <w:r>
        <w:t>GE Cour de justice, 2018-08-22, FR</w:t>
      </w:r>
    </w:p>
    <w:p>
      <w:r>
        <w:rPr>
          <w:b/>
        </w:rPr>
        <w:t xml:space="preserve">Quelle: </w:t>
      </w:r>
      <w:r>
        <w:t>https://mcp.opencaselaw.ch/entscheid/ge_gerichte_ATAS_722_2018</w:t>
      </w:r>
    </w:p>
    <w:p>
      <w:r>
        <w:t>FR: GE_GERICHTE ATAS/722/2018 du 22 août 2018</w:t>
      </w:r>
    </w:p>
    <w:p>
      <w:r>
        <w:t>IT: GE_GERICHTE ATAS/722/2018 del 22 agosto 2018</w:t>
      </w:r>
    </w:p>
    <w:p>
      <w:pPr>
        <w:pStyle w:val="Heading2"/>
      </w:pPr>
      <w:r>
        <w:t>Erwägungen</w:t>
      </w:r>
    </w:p>
    <w:p>
      <w:r>
        <w:rPr>
          <w:b/>
        </w:rPr>
        <w:t>E. 1</w:t>
      </w:r>
    </w:p>
    <w:p>
      <w:r>
        <w:t>Conformément à l'art. 134 al. 1 let. a ch. 2 de la loi sur l'organisation judiciaire, du 26 septembre 2010 (LOJ - E 2 05) en vigueur dès le 1er janvier 2011, la chambre</w:t>
      </w:r>
    </w:p>
    <w:p>
      <w:r>
        <w:t>A/4313/2017 - 13/23 -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2007, et, après le 1er janvier 2008, en fonction des modifications de la LAI, dans la mesure de leur pertinence (ATF 130 V 445 et les références; voir également ATF 130 V 329).</w:t>
      </w:r>
    </w:p>
    <w:p>
      <w:r>
        <w:rPr>
          <w:b/>
        </w:rPr>
        <w:t>E. 4</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5</w:t>
      </w:r>
    </w:p>
    <w:p>
      <w:r>
        <w:t>Le litige porte sur la question de savoir si la recourante remplit les conditions d’assurance qui lui permettraient de bénéficier d’une rente d’invalidité, subsidiairement si elle a droit à des mesures de réadaptation.</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w:t>
      </w:r>
    </w:p>
    <w:p>
      <w:r>
        <w:t>A/4313/2017 - 14/23 -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a) Conformément à l’art. 4 al. 2 LAI, l’invalidité est réputée survenue dès qu’elle est, par sa nature et sa gravité, propre à ouvrir droit aux prestations entrant en considération. Lorsque le droit à une rente est en cause, l’invalidité est réputée survenue, en règle générale, dès que l’assuré a présenté, en moyenne, une incapacité de travail de 40 % au moins pendant une année sans interruption notable (cf. art. 28 al. 1 let. b LAI). Le cas d’assurance ne peut toutefois survenir au plus tôt que le premier jour du mois qui suit le 18ème anniversaire (art. 29 al. 1 LAI). La survenance de l'invalidité est indépendante de la date du dépôt de la demande de prestations, déterminante pour le début du versement de la rente mais pas pour l'examen des conditions d'octroi de cette prestation, qu'il s'agisse d'une rente ordinaire ou extraordinaire (cf. arrêt du Tribunal fédéral 9C_655/2015 du 14 décembre 2015 consid. 4). Selon la circulaire sur l’invalidité et l’impotence dans l’assurance-invalidité (ci- après : CIIAI) dans sa teneur au 1er janvier 2018, la survenance de l’invalidité ou du cas d’assurance est réalisée au moment où une prestation de l’AI est indiquée</w:t>
      </w:r>
    </w:p>
    <w:p>
      <w:r>
        <w:t>A/4313/2017 - 15/23 - objectivement pour la première fois. Elle doit être déterminée séparément pour chaque catégorie de prestations (mesure professionnelle ou médicale, moyen auxiliaire, rente, etc.). Divers cas d’assurance peuvent exister pour la même atteinte à la santé (§ 1028). L’aggravation d’une atteinte à la santé préexistante ne crée pas un nouveau cas d’assurance. En revanche, l’apparition d’une atteinte à la santé complètement différente de l’atteinte initiale peut faire survenir un nouveau cas d’assurance (§ 1028.1). Si la personne assurée ne remplit pas à un moment donné les conditions du droit à une prestation, il n'en découle pas qu'elle se verra dans tous les cas et à tout jamais privée du bénéfice de l'octroi de toute prestation. Il peut tout d'abord se produire une succession de causes d'invalidité différentes qui entraînent autant de survenances successives de l'invalidité. Bien plus, une seule et même cause d'invalidité peut entraîner au cours du temps plusieurs cas d'assurance. Ainsi, le principe de l'unicité cesse d'être applicable lorsque l'invalidité subit des interruptions notables ou que l'évolution de l'état de santé ne permet plus d'admettre l'existence d'un lien de fait et de temps entre les diverses phases, qui en deviennent autant de cas nouveaux de survenance de l'invalidité (arrêt du Tribunal fédéral 9C_36/2015 du 29 avril 2015 consid. 5.2 et les références ; voir également arrêt du Tribunal fédéral 9C_697/2015 consid. 3.2). b) En vertu de l'art. 36 al. 1 LAI, l'octroi d'une rente ordinaire de l'assurance- invalidité est, quelle que soit la nationalité de la personne assurée, subordonné à une durée minimale de cotisations lors de la survenance de l'invalidité (jusqu'au 31 décembre 2007 : une année de cotisations ; depuis le 1er janvier 2008 : trois années de cotisations ; arrêt du Tribunal fédéral 9C_36/2015 du 29 avril 2015 consid. 4 et les références). Aux termes de l’art. 29ter al. 2 LAVS, sont considérées comme années de cotisations, les périodes pendant lesquelles une personne a payé des cotisations (let. a). c)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Le délai d’attente est réputé avoir commencé dès qu’il a été possible de constater une incapacité de travail indiscutable au vu des circonstances, une réduction de la capacité de travail de 20% étant d’ailleurs, en règle générale, déjà considérée comme significative (CIIAI § 2010 ; Pratique VSI 1998 p. 126).</w:t>
      </w:r>
    </w:p>
    <w:p>
      <w:r>
        <w:rPr>
          <w:b/>
        </w:rPr>
        <w:t>E. 9</w:t>
      </w:r>
    </w:p>
    <w:p>
      <w:r>
        <w:t>Les atteintes à la santé psychique peuvent, comme les atteintes physiques, entraîner une invalidité au sens de l'art. 4 al. 1 LAI en liaison avec l'art. 8 LPGA. On ne considère pas comme des conséquences d'un état psychique maladif, donc pas</w:t>
      </w:r>
    </w:p>
    <w:p>
      <w:r>
        <w:t>A/4313/2017 - 16/23 -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w:t>
      </w:r>
    </w:p>
    <w:p>
      <w:r>
        <w:t>A/4313/2017 - 17/23 -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11</w:t>
      </w:r>
    </w:p>
    <w:p>
      <w:r>
        <w:t>Le juge des assurances sociales fonde sa décision, sauf dispositions contraires de la loi, sur les faits qui, faute d’être établis de manière irréfutable, apparaissent comme</w:t>
      </w:r>
    </w:p>
    <w:p>
      <w:r>
        <w:t>A/4313/2017 - 18/23 -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12</w:t>
      </w:r>
    </w:p>
    <w:p>
      <w:r>
        <w:t>a) En l’espèce, l’intimé considère que l’invalidité de la recourante est survenue en 2001 et que les différentes atteintes à la santé constituent un seul et même cas d’assurance. En 2001, si l’intéressée était domiciliée en Suisse, elle n’exerçait toutefois pas d’activité lucrative et ne comptait pas une année de cotisations, de sorte qu’elle ne remplissait pas les conditions nécessaires à l’octroi d’une rente d’invalidité. Pour parvenir à ces conclusions, l’intimé se fonde sur l’expertise de la Dresse F______ ainsi que sur les différents avis du SMR, en particulier celui du 9 février 2016. Pour sa part, la recourante soutient que son invalidité est survenue en novembre 2007 et que ses différentes périodes d’incapacité de travail formaient des cas d’assurance distincts. En 2007, elle était domiciliée en Suisse et comptait les années de cotisations nécessaires à l’obtention d’une demi-rente d’invalidité depuis le 1er décembre 2013, subsidiairement le 1er avril 2015. Pour appuyer ses conclusions, la recourante se fonde, à tout le moins partiellement, sur l’expertise de la Dresse F______. b) En l’occurrence, l’expertise du 27 mai 2014 de la Dresse F______ est fondée sur une étude du dossier, un examen clinique de la recourante, une conversation téléphonique avec cette dernière, ainsi qu’une conversation téléphonique avec la Dresse B______. L’experte a rappelé le contexte de l’expertise, résumé les pièces médicales mises à sa disposition, exposé l’anamnèse de manière détaillée et fait état des plaintes de l’intéressée et de ses constations objectives avant de poser ses diagnostics, de discuter du cas et de répondre aux questions posées par l’intimé. Les diagnostics retenus sont clairs, concordent avec ceux posés par la Dresse B______ et découlent directement de l’anamnèse et des constatations objectives. Les</w:t>
      </w:r>
    </w:p>
    <w:p>
      <w:r>
        <w:t>A/4313/2017 - 19/23 - limitations fonctionnelles qu’ils impliquent et leurs conséquences sur la capacité de travail sont motivées de manière détaillée, complète et convaincante. Dans le cadre de la discussion du cas, l’experte a pris soin d’étayer son argumentation, de préciser le rôle des facteurs psychosociaux dans les périodes d’incapacité de travail, et d’expliquer les motifs l’ayant conduite à s’écarter des conclusions de la Dresse B______ sur la question de la capacité de travail de la recourante. Dès lors, cette expertise répond aux exigences de la jurisprudence et doit se voir reconnaître une pleine valeur probante. Il en va de même pour le complément d’expertise du</w:t>
      </w:r>
    </w:p>
    <w:p>
      <w:r>
        <w:rPr>
          <w:b/>
        </w:rPr>
        <w:t>E. 15</w:t>
      </w:r>
    </w:p>
    <w:p>
      <w:r>
        <w:t>Au vu de ce qui précède, le recours sera admis et la décision du 26 septembre 2017 sera annulée. La recourante obtenant gain de cause, une indemnité de CHF 1’500.- lui sera accordée à titre de participation à ses frais et dépens (art. 61 let. g LPGA; art. 6 du règlement sur les frais, émoluments et indemnités en matière administrative du 30 juillet 1986 [RFPA - E 5 10.03]). Compte tenu du sort du recours, il y a lieu de condamner l'intimé au paiement d'un émolument de CHF 500.- (art. 69bis al. 1 LAI).</w:t>
      </w:r>
    </w:p>
    <w:p>
      <w:r>
        <w:t>A/4313/2017 - 23/23 -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