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ATAS/722/2017 vom 29. August 2017</w:t>
      </w:r>
    </w:p>
    <w:p>
      <w:r>
        <w:t>GE Cour de justice, 2017-08-29, FR</w:t>
      </w:r>
    </w:p>
    <w:p>
      <w:r>
        <w:rPr>
          <w:b/>
        </w:rPr>
        <w:t xml:space="preserve">Quelle: </w:t>
      </w:r>
      <w:r>
        <w:t>https://mcp.opencaselaw.ch/entscheid/ge_gerichte_ATAS_722_2017</w:t>
      </w:r>
    </w:p>
    <w:p>
      <w:r>
        <w:t>FR: GE_GERICHTE ATAS/722/2017 du 29 août 2017</w:t>
      </w:r>
    </w:p>
    <w:p>
      <w:r>
        <w:t>IT: GE_GERICHTE ATAS/722/2017 del 29 agosto 2017</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Il y a lieu de rappeler que la fin d'une Sàrl nécessite en premier lieu de procéder à sa dissolution, conformément aux art. 821 ss CO. Une fois dissoute, la société</w:t>
      </w:r>
    </w:p>
    <w:p>
      <w:r>
        <w:t>A/1686/2017 - 4/5 - subsiste jusqu'à sa radiation du registre du commerce avec un but restreint qui est précisément sa liquidation et sa radiation (Christoph STÄUBLI, Basler Kommentar zum schweizerischen Privatrecht, Obligationenrecht II, Bâle 2002, pp. 1374 ss, ad art. 820 ss CO; Pascal MONTAVON, SARL, Lausanne 1998, p. 177 ss). Selon l'art. 739 al. 1 CO applicable par analogie, la société en liquidation garde sa personnalité et conserve sa raison sociale, à laquelle s'ajoutent les mots « en liquidation ». À la fin de la liquidation, les liquidateurs sont tenus de requérir du préposé au registre du commerce la radiation de la raison sociale (art. 746 CO par analogie).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