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ATAS/722/2016 vom 14. September 2016</w:t>
      </w:r>
    </w:p>
    <w:p>
      <w:r>
        <w:t>GE Cour de justice, 2016-09-14, FR</w:t>
      </w:r>
    </w:p>
    <w:p>
      <w:r>
        <w:rPr>
          <w:b/>
        </w:rPr>
        <w:t xml:space="preserve">Quelle: </w:t>
      </w:r>
      <w:r>
        <w:t>https://mcp.opencaselaw.ch/entscheid/ge_gerichte_ATAS_722_2016</w:t>
      </w:r>
    </w:p>
    <w:p>
      <w:r>
        <w:t>FR: GE_GERICHTE ATAS/722/2016 du 14 septembre 2016</w:t>
      </w:r>
    </w:p>
    <w:p>
      <w:r>
        <w:t>IT: GE_GERICHTE ATAS/722/2016 del 14 settembre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et les arrêts cités). En revanche, la fixation du montant de l'indemnité de dépens ressortit au droit cantonal (arrêt du Tribunal fédéral 8C_808/2014 du 4 décembre 2015 (consid. 6.2). En vertu de l’art. 6 du règlement sur les frais, émoluments et indemnités en matière administrative du 30 juillet 1986 [RFPA - E 5 10.03], la juridiction peut allouer à une partie pour les frais indispensables occasionnés par la procédure, y compris les honoraires éventuels d’un mandataire, une indemnité de 200 francs à 10'000 francs. D’après la jurisprudence, le juge n'est pas toujours tenu de motiver la décision par laquelle il fixe le montant des dépens alloués à une partie obtenant totalement ou partiellement gain de cause dans un procès;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111 Ia 1; voir également arrêts du Tribunal fédéral des assurances I 308/98 du 28 juillet 1999 consid. 3, in SVR 2000 IV n. 11 p. 31 et ATF 139 V 496 consid. 5). Pour apprécier l’importance du travail et du temps consacré à la cause, il faut tenir compte du fait que le procès en matière d’assurance sociale est</w:t>
      </w:r>
    </w:p>
    <w:p>
      <w:r>
        <w:t>A/544/2015 - 19/20 -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 139 V 496 consid. 2). En l’espèce, la note de frais produite par la recourante prend également en considération le travail de son avocat du 8 mai 2013 au 11 février 2015, soit pour une période précédant le recours formé le 18 février 2015. De plus, elle ne distingue pas le travail effectué par son avocat dans le cadre de la procédure pénale et dans celui de la procédure judiciaire en matière de prestations complémentaires. Par conséquent, il n’est pas possible de se baser sur une telle note de frais pour fixer le montant des dépens. En l’occurrence, il se justifie d’allouer à la recourante une indemnité de CHF 4’500.- à titre de participation à ses frais et dépens (art. 61 let. g LPGA; art. 6 RFPA). Au surplus, la procédure est gratuite (art. 61 let. a LPGA).</w:t>
      </w:r>
    </w:p>
    <w:p>
      <w:r>
        <w:t>A/544/2015 - 20/20 - PAR CES MOTIFS, LA CHAMBRE DES ASSURANCES SOCIALES : Statuant À la forme :</w:t>
      </w:r>
    </w:p>
    <w:p>
      <w:r>
        <w:rPr>
          <w:b/>
        </w:rPr>
        <w:t>E. 3</w:t>
      </w:r>
    </w:p>
    <w:p>
      <w:r>
        <w:t>La LPC et la LPCC ont connu des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Au vu des faits déterminants, le droit aux prestations complémentaires se détermine selon le droit en vigueur dès le 1er janvier</w:t>
      </w:r>
    </w:p>
    <w:p>
      <w:r>
        <w:t>A/544/2015 - 12/20 - 2011 (ATF 132 V 215 consid. 3.1.1; ATF 127 V 466 consid. 1; arrêt du Tribunal fédéral 9C_935/2010 du 18 février 2011 consid. 2).</w:t>
      </w:r>
    </w:p>
    <w:p>
      <w:r>
        <w:rPr>
          <w:b/>
        </w:rPr>
        <w:t>E. 4</w:t>
      </w:r>
    </w:p>
    <w:p>
      <w:r>
        <w:t>Le délai de recours est de 30 jours (art. 60 al. 1 LPGA; art. 62 al. 1 let. a de la loi sur la procédure administrative du 12 septembre 1985 [LPA-GE - E 5 10] et art. 43 LPCC). Interjeté dans les forme et délai prescrits par la loi, le présent recours est recevable (art. 56 et 60 LPGA; art. 89B LPA-GE).</w:t>
      </w:r>
    </w:p>
    <w:p>
      <w:r>
        <w:rPr>
          <w:b/>
        </w:rPr>
        <w:t>E. 5</w:t>
      </w:r>
    </w:p>
    <w:p>
      <w:r>
        <w:t>En premier lieu, il convient d’examiner la qualité pour agir de la recourante dès lors que la demande de prestations du 23 mai 2014 mentionne son mari en tant que requérant alors que ce dernier est décédé. En vertu de l’art. 20 de l’ordonnance sur les prestations complémentaires à l’assurance-vieillesse, survivants et invalidité du 15 janvier 1971 (OPC-AVS/AI - RS 831.301), la personne qui veut faire valoir un droit à une prestation complémentaire annuelle doit déposer une demande écrite. L'art. 67 al. 1 du règlement sur l'assurance-vieillesse et survivants du 31 octobre 1947 (RAVS - RS 831.101), est applicable par analogie (al. 1). La formule de demande doit donner des indications sur l'état civil de l'ayant droit et sur les conditions de revenu et de fortune de toutes les personnes comprises dans le calcul de la prestation complémentaire annuelle (al. 2). Selon l’art. 67 al. 1. RAVS, pour faire valoir son droit à une rente ou à une allocation pour impotent, l'ayant droit doit remettre une formule de demande dûment remplie à la caisse de compensation compétente conformément aux art. 122 ss. L'exercice de ce droit appartient à l'ayant droit ou, agissant en son nom, à son représentant légal, à son conjoint, à ses parents ou grands-parents, à ses enfants ou petits-enfants, à ses frères et sœurs, ainsi qu'au tiers ou à l'autorité pouvant exiger le versement de la rente. D’après l’art. 4 let. a LPC, les personnes qui ont leur domicile et leur résidence habituelle (art. 13 LPGA) en Suisse ont droit à des prestations complémentaires dès lors qu'elles perçoivent une rente de vieillesse de l'assurance-vieillesse et survivants (AVS). Aux termes de l’art. 60 al. 1 LPA-GE, ont qualité pour recourir notamment les parties à la procédure qui a abouti à la décision attaquée (let. a) et toute personne qui est touchée directement par une décision et a un intérêt personnel digne de protection à ce qu’elle soit annulée ou modifiée (let. b). En l’espèce, étant destinataire de la décision attaquée et ayant droit aux prestations complémentaires puisqu’elle perçoit une rente de vieillesse de l’AVS (art. 4 al. 1 let. a LPC), la recourante a un intérêt personnel à ce que ladite décision soit modifiée en tant qu’elle prend en compte les revenus et la fortune des deux époux. Par conséquent, elle possède la qualité pour agir.</w:t>
      </w:r>
    </w:p>
    <w:p>
      <w:r>
        <w:rPr>
          <w:b/>
        </w:rPr>
        <w:t>E. 6</w:t>
      </w:r>
    </w:p>
    <w:p>
      <w:r>
        <w:t>Le litige porte sur le droit de la recourante aux prestations complémentaires dès le 1er mars 2014, en particulier sur la prise en compte à titre de fortune d’un</w:t>
      </w:r>
    </w:p>
    <w:p>
      <w:r>
        <w:t>A/544/2015 - 13/20 - dessaisissement à hauteur de CHF 62'680.- et du rendement hypothétique des biens dessaisis.</w:t>
      </w:r>
    </w:p>
    <w:p>
      <w:r>
        <w:rPr>
          <w:b/>
        </w:rPr>
        <w:t>E. 7</w:t>
      </w:r>
    </w:p>
    <w:p>
      <w:r>
        <w:t>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Pour les couples dont l'un des conjoints au moins vit en permanence ou pour une longue période dans un home ou dans un hôpital, la prestation complémentaire annuelle est calculée séparément pour chacun des conjoints selon les art. 1b à 1d (art. 1a OPC_AVS/AI) L’art. 10 LPC al. 1 let. a prévoit, pour les personnes vivant à domicile que les dépenses reconnues comprennent les montants destinés à la couverture des besoins vitaux, soit, par année 19’210 francs pour les personnes seules (ch. 1). Selon la let. b de cette disposition, les dépenses reconnues comprennent en outre le loyer d’un appartement et les frais accessoires y relatifs; le montant annuel maximal reconnu est de 13'200 francs pour les personnes seules (ch. 2). Pour les personnes qui vivent en permanence ou pour une longue période dans un home ou dans un hôpital (personnes vivant dans un home ou un hôpital), l’art. 10 al. 2 LPC prescrit que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 b. un montant, arrêté par les cantons, pour les dépenses personnelles. Enfin, pour toutes les personnes, l’art. 10 al. 3 LPC énumère la liste des autres dépenses reconnues. b) En vertu de l’art. 11 al. 1 LPC, les revenus déterminants comprennent notamment deux tiers des ressources en espèces ou en nature provenant de l’exercice d’une activité lucrative, pour autant qu’elles excèdent annuellement 1’500 francs pour les couples (let. a); le produit de la fortune mobilière et immobilière (let. b); un quinzième de la fortune nette, un dixième pour les bénéficiaires de rentes de vieillesse, dans la mesure où elle dépasse 40’000 francs pour les couples (60'000 francs dès le 1er janvier 2011; let. c); les rentes, pensions et autres prestations périodiques, y compris les rentes de l’AVS et de l’AI (let. d); les ressources et parts de fortune dont un ayant droit s’est dessaisi (let. g). c) A teneur de l'art. 17a OPC-AVS/AI, la part de fortune dessaisie à prendre en compte (art. 11 al. 1 let. g LPC) est réduite chaque année de 10 000 francs (al. 1). La valeur de la fortune au moment du dessaisissement doit être reportée telle quelle</w:t>
      </w:r>
    </w:p>
    <w:p>
      <w:r>
        <w:t>A/544/2015 - 14/20 -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8</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9</w:t>
      </w:r>
    </w:p>
    <w:p>
      <w:r>
        <w:t>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lieu de prendre en compte dans le revenu déterminant tout dessaisissement sans limite de temps (FERRARI, Dessaisissement volontaire et prestations complémentaires à l'AVS/AI in RSAS 2002, p. 420). D'après la jurisprudence, à la différence de donations ou de jeux d’argents,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w:t>
      </w:r>
    </w:p>
    <w:p>
      <w:r>
        <w:t>A/544/2015 - 15/20 - ait été fait sans obligation juridique ou sans contre-prestation qui détermine si un placement doit être ou non assimilé à un dessaisissement (arrêt du Tribunal fédéral des assurances P 55/05 du 26 janvier 2007 consid. 3.2, in SVR 2007 EL n° 6 p. 12; voir également arrêt du Tribunal fédéral 9C_507/2011 du 1er décembre 2011 consid. 5.2). Toutefois, il est en soi propre à la diminution de fortune imputable à une escroquerie que la victime de l’infraction pénale n’est pas consciente de l’ampleur du risque lié à l’investissement effectué, respectivement qu’elle a été trompée astucieusement à ce sujet. Par conséquent, dans le cadre de l’instruction d’un éventuel dessaisissement de fortune, il est primordial de déterminer si la diminution de fortune a été provoquée par une infraction pénale. C’est pourquoi, l’ouverture et l’exécution d’une procédure pénale sont importantes à ce sujet (arrêt du Tribunal fédéral 8C_567/2007 du 2 juillet 2008 consid. 6.5; ATAS/585/2015).</w:t>
      </w:r>
    </w:p>
    <w:p>
      <w:r>
        <w:rPr>
          <w:b/>
        </w:rPr>
        <w:t>E. 10</w:t>
      </w:r>
    </w:p>
    <w:p>
      <w:r>
        <w:t>En vertu de l’art. 146 al. 1 du Code pénal suisse du 21 décembre 1937 (CP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 tromperie consiste à faire naître chez la dupe une vision faussée de la réalité en recourant à des affirmations écrites, orales, par gestes ou par actes concluants (cf. ATF 133 IV 256 consid. 4.4.3; ATF 128 IV 18 consid. 3a; ATF 128 IV 255 consid. 2b/aa non publié et les références indiquées). L’astuce au sens de l’art. 146 CP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w:t>
      </w:r>
    </w:p>
    <w:p>
      <w:r>
        <w:t>A/544/2015 - 16/20 - qualification juridique ne sont pas convaincants, ou s'ils se fondent sur des considérations spécifiques du droit pénal, qui ne sont pas déterminantes en droit des assurances sociales (ATF 125 V 237 consid. 6a et les références; arrêt du Tribunal fédéral 9C_498/2012 du 7 mars 2013 consid. 4.3).</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il ressort des pièces de la procédure pénale qu’à la suite de nombreux téléphones harcelants de personnes se prétendant représentantes d’une entreprise française spécialisée dans la vente de vin et lui proposant d’acheter du vin à un prix imbattable moyennant le versement régulier de sommes d’argent, le requérant a versé entre le 22 novembre 2011 et le 10 octobre 2012 au moins CHF 107'630.25 sur plusieurs comptes bancaires en Belgique. Selon les résultats de l’instruction pénale en Belgique, les destinataires étaient des personnes âgées qui avaient été contactées par téléphone par des femmes se faisant passer pour des juristes françaises. Ces dernières les assuraient qu’elles allaient recevoir une indemnisation à la suite du jugement à Paris des escrocs qui leur avaient vendu du vin n’ayant aucune valeur pour un prix de plusieurs centaines d’euros, mais qu’au préalable elles devaient payer 10% de la somme escomptée via Western Union à des destinataires se trouvant en Tunisie. Ces personnes payaient sans recevoir l’indemnisation promise, sur quoi elles recevaient de nouvelles instructions par téléphone pour qu’elles versent de plus gros montants. Une fois qu’elles n’avaient plus d’argent à disposition, on leur proposait de leur avancer les frais et elles recevaient alors de l’argent sur leur compte bancaire provenant d’autres victimes - dont notamment le requérant – qu’elles reversaient en Tunisie. Les dossiers d’instruction comptent vingt-sept victimes de ce type d’escroquerie pour un préjudice total de € 1'982'001.43, mais il y a beaucoup d’autres victimes de cette escroquerie qui est toujours en cours. Le profil des victimes est quasiment identique, à savoir des personnes âgées un peu désorientées et totalement crédules. Les destinataires tunisiens sont nombreux et sont vraisemblablement des hommes de paille rémunérés pour récupérer l’argent qu’ils reversent à une famille tunisienne à la tête de cette escroquerie. Toutefois, la commission rogatoire belge du 9 juillet 2014 à l’attention des autorités judiciaires tunisiennes ne semble pas avoir été exécutée, même partiellement.</w:t>
      </w:r>
    </w:p>
    <w:p>
      <w:r>
        <w:t>A/544/2015 - 17/20 - b) Dans une affaire similaire, le Tribunal des assurances du canton de Saint-Gall a jugé dans un arrêt du 2 février 2011 (EL 2010/48 consid. 3) que l’assurée âgée de nonante-deux ans ne s’était pas dessaisie d’un montant de CHF 95'000.- mais avait été victime d’une escroquerie en versant ce montant à une personne qui lui avait téléphoné un mercredi et dont elle a reconnu la voix comme étant celle du beau- père de son petit-fils. Son interlocuteur lui avait affirmé que son petit-fils avait besoin de CHF 95'000.- pour acheter un bien immobilier et le revendre presque immédiatement avec une plus-value, de sorte qu’il allait lui reverser ce montant sur son compte le lundi suivant. Le Tribunal a considéré qu’en tenant compte de toutes les circonstances, notamment de l’âge de l’assurée et du fait qu’elle avait été victime d’une escroquerie qui avait bien pu être commise par une bande d’escrocs sévissant dans la région au détriment de nombreuses personnes âgées, il n’apparaissait pas indiqué dans le cas d’espèce de prendre en considération une diminution de fortune de CHF 95’000.- due à l’escroquerie dans le calcul du droit aux prestations complémentaire au titre d’un dessaisissement. c) Dans le cas d’espèce, le requérant n’a pas fait de donations aux divers destinataires de ces versements puisqu’il ne les connaissait pas et attendait une contre-prestation à ses versements. Au contraire, il ressort du dossier pénal que le requérant a été victime d’une escroquerie internationale à grande échelle au préjudice de personnes âgées avec plusieurs couches d’intermédiaires. Rien dans le dossier ne permet de douter de la qualification de l’infraction par le juge pénal. Par conséquent, le requérant a été trompé par des affirmations fallacieuses et une mise en scène reposant sur un édifice de mensonges qui l’ont dissuadé de vérifier lesdites affirmations au vu de sa faiblesse d’esprit due à une consommation importante d’alcool. En effet, les témoins entendus par la chambre de céans ont unanimement fait part d’une consommation quotidienne d’alcool d’au moins deux à trois bouteilles de vin telle que le requérant est décrit comme étant la plupart du temps somnolent, ralenti et alcoolisé (audition du fils médecin) et tombant régulièrement, notamment de son lit au milieu de la nuit. De plus, son état s’était aggravé avec des chutes devenues plus fréquentes dans les deux années ayant précédé son entrée en EMS (audition de la voisine), soit précisément en 2011 et 2012, années lors desquelles il a versé CHF 107'630.25 principalement à des destinataires en Belgique. Dans un tel cas d’escroquerie, la victime de l’infraction pénale n’est pas consciente de l’ampleur du risque lié à l’investissement effectué, respectivement qu’elle a été trompée astucieusement à ce sujet. Aussi, il ne peut pas être reproché au requérant une prise de risque importante ainsi que le soutient l’intimé pour justifier sa prise en compte d’un dessaisissement. Dès lors, au vu de toutes les circonstances, il y a lieu de retenir que le requérant ne s’est pas dessaisi du montant de CHF 62'680.- en 2014, contrairement à ce que l’intimé a retenu dans son calcul du droit aux prestations. En définitive, dans le calcul du droit aux prestations complémentaires dès le 1er mars 2014, la valeur de la fortune doit être diminuée du montant de</w:t>
      </w:r>
    </w:p>
    <w:p>
      <w:r>
        <w:t>A/544/2015 - 18/20 - CHF 62'680.- retenu à tort par l’intimé en tant que dessaisissement ainsi que du produit hypothétique des biens dessaisis de CHF 125.36. Etant donné que la fortune est inférieure aux deniers de nécessité de CHF 30’000.-, il n’y a pas lieu de prendre en considération une quelconque fortune dans le calcul du revenu déterminant (art. 11 al. 1 let. b et c LPC). Dès lors et sans préjuger de toutes les conditions dont dépend le droit aux prestations complémentaires, il convient de renvoyer la cause à l’intimé pour qu'il statue à nouveau sur le droit de la recourante aux prestations complémentaires dès le 1er mars 2014 au sens des considérants.</w:t>
      </w:r>
    </w:p>
    <w:p>
      <w:r>
        <w:rPr>
          <w:b/>
        </w:rPr>
        <w:t>E. 13</w:t>
      </w:r>
    </w:p>
    <w:p>
      <w:r>
        <w:t>Au vu de ce qui précède, le recours sera admis et la décision du 19 janvier 2015 annulée. La recourante conclut à l’octroi de dépens à raison d’au moins CHF 9'706.60 en se référant aux heures de travail de son avocat et à une tarification horaire de CHF 320.-. Selon l'art. 61 let.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(cf. ATF 129 V 113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