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ATAS/722/2011 vom 5. August 2011</w:t>
      </w:r>
    </w:p>
    <w:p>
      <w:r>
        <w:t>GE Cour de justice, 2011-08-05, FR</w:t>
      </w:r>
    </w:p>
    <w:p>
      <w:r>
        <w:rPr>
          <w:b/>
        </w:rPr>
        <w:t xml:space="preserve">Quelle: </w:t>
      </w:r>
      <w:r>
        <w:t>https://mcp.opencaselaw.ch/entscheid/ge_gerichte_ATAS_722_2011</w:t>
      </w:r>
    </w:p>
    <w:p>
      <w:r>
        <w:t>FR: GE_GERICHTE ATAS/722/2011 du 5 août 2011</w:t>
      </w:r>
    </w:p>
    <w:p>
      <w:r>
        <w:t>IT: GE_GERICHTE ATAS/722/2011 del 5 agosto 2011</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27 août 2007, a été notifiée à l’assuré le 10 mars 2008, de même que les faits à la base de la présente cause, sont postérieurs à l'entrée en vigueur de la LPGA ainsi qu'à l'entrée en vigueur, le 1er janvier 2004, des modifications de la LAI du 21 mars 2003 (4ème révision). En effet, si l’OAI relève que depuis le 1er janvier 1992, la capacité de travail du recourant est considérablement restreinte, il sied de constater que, d’une part, la décision notifiée le 10 mars 2008 fait suite à une demande de prestations du 23 novembre 2004 et, d’autre part, le recourant conclut notamment a un droit à une demi-rente d’invalidité dès le mois de septembre 2004.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w:t>
      </w:r>
    </w:p>
    <w:p>
      <w:r>
        <w:t>A/1417/2008 - 11/16 - 130 V 329), en tenant compte, le cas échéant, des modifications intervenues dans le cadre de la 5ème révision de la LAI entrée en vigueur le 1er janvier 2008.</w:t>
      </w:r>
    </w:p>
    <w:p>
      <w:r>
        <w:rPr>
          <w:b/>
        </w:rPr>
        <w:t>E. 3</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Déposé dans les forme et délai prévus par la loi, la recevabilité du recours sera confirmée (art. 56 à 60 LPGA)</w:t>
      </w:r>
    </w:p>
    <w:p>
      <w:r>
        <w:rPr>
          <w:b/>
        </w:rPr>
        <w:t>E. 5</w:t>
      </w:r>
    </w:p>
    <w:p>
      <w:r>
        <w:t>Il convient de déterminer le droit du recourant à des prestations de l’assurance invalidité. Tenant compte, en l’occurrence, des considérants du TF, il convient de déterminer si le recourant dispose d’une pleine capacité résiduelle de travail dans son activité habituelle ou dans une activité adaptée à ses limitations fonctionnelles.</w:t>
      </w:r>
    </w:p>
    <w:p>
      <w:r>
        <w:rPr>
          <w:b/>
        </w:rPr>
        <w:t>E. 6</w:t>
      </w:r>
    </w:p>
    <w:p>
      <w:r>
        <w:t>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7</w:t>
      </w:r>
    </w:p>
    <w:p>
      <w:r>
        <w:t>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8</w:t>
      </w:r>
    </w:p>
    <w:p>
      <w:r>
        <w:t>Selon la jurisprudence, la notion d’invalidité, au sens du droit des assurances sociales, est une notion économique et non médicale ; ce sont les conséquences économiques objectives de l’incapacité fonctionnelle qu’il importe d’évaluer (ATF 110 V 275 consid. 4a)</w:t>
      </w:r>
    </w:p>
    <w:p>
      <w:r>
        <w:t>A/1417/2008 - 12/16 -</w:t>
      </w:r>
    </w:p>
    <w:p>
      <w:r>
        <w:rPr>
          <w:b/>
        </w:rPr>
        <w:t>E. 9</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10</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rPr>
          <w:b/>
        </w:rPr>
        <w:t>E. 11</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12</w:t>
      </w:r>
    </w:p>
    <w:p>
      <w:r>
        <w:t>Le Tribunal fédéral a encore précisé que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w:t>
      </w:r>
    </w:p>
    <w:p>
      <w:r>
        <w:t>A/1417/2008 - 13/16 - nécessairement avec le moment où l'assuré apprend, pour la première fois, que l'atteinte à sa santé peut ouvrir droit à des prestations d'assurance (ATF 126 V 9 consid. 2b, 160 consid. 3a, 118 V 82 consid. 3a et les références).</w:t>
      </w:r>
    </w:p>
    <w:p>
      <w:r>
        <w:rPr>
          <w:b/>
        </w:rPr>
        <w:t>E. 13</w:t>
      </w:r>
    </w:p>
    <w:p>
      <w:r>
        <w:t>Au sujet du taux d’invalidité reposant sur la comparaison des revenus avec ou sans invalidité, le Tribunal de céans s’était rallié au calcul effectué par l’OAI, basé sur des bilans produits par le recourant et dont notamment les principes n’étaient pas contestés par ce dernier.</w:t>
      </w:r>
    </w:p>
    <w:p>
      <w:r>
        <w:rPr>
          <w:b/>
        </w:rPr>
        <w:t>E. 14</w:t>
      </w:r>
    </w:p>
    <w:p>
      <w:r>
        <w:t>En l’espèce, conformément aux considérants de l’arrêt du TF, la Cour de céans a ordonné une expertise rhumatologique et l’a confié au Dr Q__________, rhumatologie FMH, médecine physique et réhabilitation FMH, pathologie du sport.</w:t>
      </w:r>
    </w:p>
    <w:p>
      <w:r>
        <w:rPr>
          <w:b/>
        </w:rPr>
        <w:t>E. 15</w:t>
      </w:r>
    </w:p>
    <w:p>
      <w:r>
        <w:t>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16</w:t>
      </w:r>
    </w:p>
    <w:p>
      <w:r>
        <w:t>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w:t>
      </w:r>
    </w:p>
    <w:p>
      <w:r>
        <w:rPr>
          <w:b/>
        </w:rPr>
        <w:t>E. 17</w:t>
      </w:r>
    </w:p>
    <w:p>
      <w:r>
        <w:t>En l’espèce, figure au dossier, en plus des rapports des médecins traitants, le rapport d’expertise du Dr Q__________. Dans son rapport, le Dr Q__________ relève que, sur le plan purement médical, on peut estimer que l’assuré a pu maintenir une capacité de travail entière en renonçant à une partie de son activité</w:t>
      </w:r>
    </w:p>
    <w:p>
      <w:r>
        <w:t>A/1417/2008 - 14/16 - professionnelle et aux déménagements de particuliers ayant des objets trop lourds et en prenant un employé temporaire en plus pour compenser son handicap qui se manifeste principalement par une perte de son chiffre d’affaires qui finalement pourra être reconnu comme l’équivalent d’une baisse de rendement. Il relève également que dans une activité adaptée respectant les limitations fonctionnelles, on pourrait reconnaître une capacité de travail entière, avec toutefois une baisse de rendement d’environ 20%. Au sujet des limitations fonctionnelles, l’expert retient les ports de charges répétés de plus de 25 kg et propose l’évitement des positions contraignantes pour le dos, telles que des positions statiques le tronc penché en avant ou des mouvements répétitifs du tronc en flexion ou rotation avec ports de charges. Mentionnant les mesures prises par le recourant pour poursuivre son activité, à savoir renonciation à une partie de son activité professionnelle trop lourde et aux déménagements de particuliers ayant des objets trop lourds et prise d’un employé temporaire en plus pour compenser son handicap, le Dr Q__________ estime, sur le plan médical, que le recourant a pu maintenir une capacité de travail entière grâce aux adaptations de son poste de travail.</w:t>
      </w:r>
    </w:p>
    <w:p>
      <w:r>
        <w:rPr>
          <w:b/>
        </w:rPr>
        <w:t>E. 18</w:t>
      </w:r>
    </w:p>
    <w:p>
      <w:r>
        <w:t>Au sujet de la valeur probante d’un rapport médical, le Tribunal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les descriptions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w:t>
      </w:r>
    </w:p>
    <w:p>
      <w:r>
        <w:rPr>
          <w:b/>
        </w:rPr>
        <w:t>E. 19</w:t>
      </w:r>
    </w:p>
    <w:p>
      <w:r>
        <w:t>En ce qui concerne la valeur probante de l’expertise du Dr Q__________, il sied de relever que, après un résumé médical du dossier, il fait mention d’une anamnèse détaillée du cas aussi bien sur le plan social que professionnelle, familiale et systémique et prend en compte les antécédents personnels. L’expertise fait état des plaintes actuelles de l’expertisé tant subjectives qu’objectives. Sur l’état objectif, l’expert a décrit le status clinique, le status ostéo-articulaire, a procédé à un examen neurologique des membres inférieurs et à un examen radiologique. Examinant les atteintes à la santé dont souffre le recourant, le Dr Q__________ pose des diagnostics clairs et répond de façon précise aux questions posées aussi bien sur les limitations fonctionnelles que sur la capacité de travail du recourant. Il conclut notamment que, sur le plan médical, l’assuré a pu maintenir une capacité de travail entière grâce aux adaptations de son poste de travail et ceci en tenant compte de ses limitations fonctionnelles.</w:t>
      </w:r>
    </w:p>
    <w:p>
      <w:r>
        <w:t>A/1417/2008 - 15/16 -</w:t>
      </w:r>
    </w:p>
    <w:p>
      <w:r>
        <w:rPr>
          <w:b/>
        </w:rPr>
        <w:t>E. 20</w:t>
      </w:r>
    </w:p>
    <w:p>
      <w:r>
        <w:t>Il est manifeste que le rapport d’expertise du Dr Q__________ a fait l’objet d’une étude circonstanciée des points litigieux, il se fonde sur des examens complets, il prend en considération les plaintes exprimées par la personne examinée, il est établi en pleine connaissance de l’anamnèse et les descriptions du contexte médical et l’appréciation de la situation médicale sont claires et les conclusions sont dûment motivées. Cette expertise qui est convaincante et dépourvue de contradiction, répond à tous les réquisits pour lui voir attribuer pleine valeur probante. La Cour de céans se ralliera donc aux conclusions de l’expertise et la pleine capacité de travail du recourant dans une activité adaptée sera reconnue avec une diminution de rendement de 20%.</w:t>
      </w:r>
    </w:p>
    <w:p>
      <w:r>
        <w:rPr>
          <w:b/>
        </w:rPr>
        <w:t>E. 21</w:t>
      </w:r>
    </w:p>
    <w:p>
      <w:r>
        <w:t>Enfin, il sied encore de constater que le recourant n’a formulé aucune remarque au sujet du rapport d’expertise alors que l’OAI insistait, à l’occasion de son courrier du 2 mars 2011, sur le fait qu’il y avait lieu d’admettre que le recourant présentait une incapacité de travail de 50% dans son activité habituelle à compter de septembre 2003 et que l’expert retenait cependant une complète capacité de travail, moyennant une baisse de rendement de l’ordre de 20% dans une activité adaptée. L’OAI précisait encore que l’exigibilité retenue par le Dr Q__________ rejoignait celle précédemment retenue dans sa décision du 10 mars 2008.</w:t>
      </w:r>
    </w:p>
    <w:p>
      <w:r>
        <w:rPr>
          <w:b/>
        </w:rPr>
        <w:t>E. 22</w:t>
      </w:r>
    </w:p>
    <w:p>
      <w:r>
        <w:t>Dès lors, le recours sera rejeté et la décision du 20 août 2007, notifiée le 10 mars 2008, sera confirmée. Le recourant qui succombe n'aura pas droit à des dépens. Il sera condamné à un émolument fixé à 200 fr. selon l'art. 69 al. 1bis LAI.</w:t>
      </w:r>
    </w:p>
    <w:p>
      <w:r>
        <w:t>A/1417/2008 - 16/16 -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