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ATAS/721/2018 vom 22. August 2018</w:t>
      </w:r>
    </w:p>
    <w:p>
      <w:r>
        <w:t>GE Cour de justice, 2018-08-22, FR</w:t>
      </w:r>
    </w:p>
    <w:p>
      <w:r>
        <w:rPr>
          <w:b/>
        </w:rPr>
        <w:t xml:space="preserve">Quelle: </w:t>
      </w:r>
      <w:r>
        <w:t>https://mcp.opencaselaw.ch/entscheid/ge_gerichte_ATAS_721_2018</w:t>
      </w:r>
    </w:p>
    <w:p>
      <w:r>
        <w:t>FR: GE_GERICHTE ATAS/721/2018 du 22 août 2018</w:t>
      </w:r>
    </w:p>
    <w:p>
      <w:r>
        <w:t>IT: GE_GERICHTE ATAS/721/2018 del 22 agosto 2018</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art. 73 de la loi fédérale sur la prévoyance professionnelle, vieillesse, survivants et invalidité du 25 juin 1982 [LPP  RS 831.40] et art. 142 du Code civil suisse du 10 décembre 1907 [CC  RS 210]). b. En l’espèce, la présente cause oppose un employeur à une institution de prévoyance professionnelle en lien avec les cotisations dues par le premier à la seconde. La compétence de la chambre de céans ratione materiae pour juger du cas d’espèce est ainsi établie. Elle l’est aussi ratione loci, étant relevé que, pour les contestations visées par l’art. 73 LPP, le for de l’action est au siège ou au domicile suisse du défendeur ou au lieu de l’exploitation dans laquelle l’assuré a été engagé (art. 73 al. 3 LPP) et qu’en l’occurrence la défenderesse a son siège dans le canton de Genève. c. 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d. Partant, elle est recevable.</w:t>
      </w:r>
    </w:p>
    <w:p>
      <w:r>
        <w:rPr>
          <w:b/>
        </w:rPr>
        <w:t>E. 2</w:t>
      </w:r>
    </w:p>
    <w:p>
      <w:r>
        <w:t>Le litige comporte une demande en condamnation au paiement des cotisations échues (CHF 11'049.50 avec intérêts à 5% à compter du 29 juin 2017), des intérêts du 1er janvier au 28 juin 2017 (CHF 273.45), d’une indemnité de gestion de CHF 500.-, des frais du commandement de payer ainsi qu'une demande en mainlevée de l'opposition faite au commandement de payer.</w:t>
      </w:r>
    </w:p>
    <w:p>
      <w:r>
        <w:rPr>
          <w:b/>
        </w:rPr>
        <w:t>E. 3</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phrase LPP).</w:t>
      </w:r>
    </w:p>
    <w:p>
      <w:r>
        <w:t>A/3769/2017 - 5/13 -</w:t>
      </w:r>
    </w:p>
    <w:p>
      <w:r>
        <w:rPr>
          <w:b/>
        </w:rPr>
        <w:t>E. 4</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w:t>
      </w:r>
    </w:p>
    <w:p>
      <w:r>
        <w:rPr>
          <w:b/>
        </w:rPr>
        <w:t>E. 5</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B.59/03 du 30 décembre 2003 consid. 4.1).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w:t>
      </w:r>
    </w:p>
    <w:p>
      <w:r>
        <w:t>A/3769/2017 - 6/13 -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a. En l'espèce, la chambre de céans tient pour établi qu'en sa qualité d'employeur occupant des salariés, la défenderesse devait obligatoirement être affiliée à une caisse de prévoyance professionnelle, ce qui du reste n'est pas contesté. Le personnel de l’entreprise de la défenderesse a été assuré auprès de la demanderesse avec effet au 1er juillet 2014, conformément au contrat d’affiliation n° 1______. Ce contrat n’est pas remis en cause, pas plus que le devoir de la défenderesse de verser les cotisations dues en vertu de l’art. 66 al. 2 LPP. b. Aux termes des ch. 5.1 et 5.2 de la convention d'affiliation liant les parties, l’employeur s’engage à verser les contributions facturées à la Fondation (c’est-à- dire la demanderesse). Le jour d’effet est le 1er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Un crédit d’intérêts est accordé pour les paiements effectués avant l’échéance, tandis que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(ch. 5.4 al. 1 de la convention d'affiliation). Tout solde en faveur de la Fondation à la fin d’une année, ainsi que les intérêts débiteurs, sont reportés à l’année civile suivante à titre de créance en capital. Tout solde en faveur de l’entreprise affiliée, y compris les intérêts créditeurs, sont comptabilisés à titre de paiement d’acompte pour les contributions de l’année suivante (ch. 5.4 al. 3 de la convention d’affiliation). Pour la fin de l’année civile, la Fondation établit un relevé du compte d’encaissement. Le solde indiqué sur ce relevé sera considéré comme approuvé dans la mesure où l’entreprise affiliée ne le conteste pas par écrit dans un délai de quatre semaines après réception du relevé (ch. 5.4 al. 4 de la convention d’affiliation). Le règlement pour frais de gestion, faisant partie intégrante de la convention d’affiliation (ch. 2.2 de la convention d’affiliation) prévoit expressément le montant des frais relatifs aux procédures de sommation et de poursuite, dont un montant forfaitaire de CHF 300.- pour une sommation et de CHF 500.- pour la réquisition de poursuite.</w:t>
      </w:r>
    </w:p>
    <w:p>
      <w:r>
        <w:t>A/3769/2017 - 7/13 - b/aa. Le contrat de compte courant comporte un accord de compensation selon lequel toutes les prétentions nées de part et d'autre, comprises dans le rapport de compte courant, seront compensées automatiquement, sans déclaration de compensation, soit pendant que le compte courant est ouvert, soit à la fin d'une période comptable (ATF 129 III 118 consid. 2.3). Dans un compte courant, les prétentions et contre-prétentions portées en compte s'éteignent par compensation, si bien qu'une nouvelle créance prend naissance à concurrence du solde. Il y a novation lorsque le solde du compte a été arrêté et reconnu (art. 117 al. 2 CO). Les parties peuvent convenir d'une reconnaissance tacite (ATF 130 III 694 consid. 2.2.2 et les références citées). b/bb. Il découle de ce qui précède que le ch. 5.4 de la convention d’affiliation contient des règles relatives à un compte courant (cf. dans ce sens : ATAS/292/2014 du 12 mars 2014 consid. 5 et 6). En effet, la demanderesse tient le compte et inscrit les opérations au débit et au crédit qui sont périodiquement récapitulées et compensées ; le solde en faveur de celle-ci à la fin d’une année, y compris les intérêts débiteurs, sont reportés à l’année suivante à titre de créance en capital, tandis que le solde en faveur de la défenderesse, y compris les intérêts créditeurs, sont reportés à titre de paiement d’acompte pour les contributions de l’année suivante. Cette opération arithmétique comporte donc un mécanisme de compensation réciproque qui s’inscrit dans la durée. À cela s’ajoute qu’à défaut de contestation dans le délai contractuel, le solde indiqué sur le relevé émis pour la fin de l’année civile est réputé accepté. La reconnaissance du solde provoque donc la novation de la dette antérieure. c. Cela étant établi, il convient de déterminer si la demanderesse peut réclamer la somme de CHF 11'049.50 (montant comportant notamment le capital et les intérêts débiteurs courus jusqu’à fin décembre 2016), avec intérêts à 5% à compter du 29 juin 2017, ainsi que les intérêts débiteurs du 1er janvier au 28 juin 2017 de CHF 273.45. c/aa.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Il doit toutefois y avoir entente des parties à cet égard; une simple comptabilisation en compte courant n'est pas suffisante (ATF 130 III 694 consid. 2.2.3 et les références citées).</w:t>
      </w:r>
    </w:p>
    <w:p>
      <w:r>
        <w:t>A/3769/2017 - 8/13 - c/bb. En l’espèce, suite à la lettre de résiliation de la demanderesse du 14 janvier 2016, le rapport d’affiliation a pris fin au 29 février 2016. Le solde débiteur à ce moment-là comportant le capital, les frais administratifs et les intérêts débiteurs courus jusqu’alors se montait à CHF 15'919.05. Aucune clause contractuelle ne stipule que les paiements effectués par la défenderesse après la fin du contrat doivent d'abord être imputés sur le capital, ni qu'une fois celui-ci remboursé, les intérêts courus jusqu'alors forment un capital sur lequel des intérêts moratoires seraient dus. Partant, une fois le contrat résilié, les intérêts ne pouvaient plus devenir capital par novation et porter eux-mêmes des intérêts. C'est ainsi à tort que la demanderesse a ajouté au capital, arrêté à CHF 10’984.50 le 13 décembre 2016 (suite aux versements partiels opérés depuis février 2016), les intérêts de CHF 715.- courus au 31 décembre 2016. Ce faisant, à cette date-ci, le capital a été fixé à CHF 11'699.50, puis à CHF 11'049.50 une fois le dernier versement opéré par la défenderesse le 3 janvier 2017. La créance due s’élevait toutefois à CHF 10'334.50 (11'049.50 - 715). Cela étant, il ne ressort d’aucun document au dossier que la défenderesse aurait formulé une contestation auprès de la demanderesse quant à l’exactitude de l’extrait de compte du 7 septembre 2017 récapitulant les paiements encaissés du 1er juillet 2014 au 6 septembre 2017. Au demeurant, dans sa réponse, la défenderesse admet devoir la somme de CHF 11'049.50. Par conséquent, l’extrait de compte est tenu pour approuvé tacitement. c/cc. Cela dit, il y a lieu d’examiner si le solde arrêté et reconnu au 3 janvier 2017, qui inclut une erreur, peut être corrigé.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2012, n. 18 ad art. 117 CO). À teneur de la jurisprudence fédérale, dans des relations contractuelles complexes, il est possible de revenir sur un article comptabilisé à tort lors du bouclement du compte, en cas de vice du consentement (ATF 127 III 147 consid. 2d et e; ATF 135 V 113 consid. 3.6 ; ATAS/292/2014 du 12 mars 2014 consid. 6). L’erreur essentielle n’oblige pas la partie dans l’erreur (art. 23 CO ; Bruno SCHMIDLIN, Commentaire romand Code des obligations I, 2012, n. 4 ad art. 23,24 CO). Une erreur causée par une ignorance dont on aurait pu et dû se rendre compte ne peut être considérée comme essentielle, étant donné l’attitude négligente et indifférente de l’errans à son égard (SCHMIDLIN, op cit., n. 2 ad art. 23, 24 CO). In casu, la défenderesse ne pouvait ignorer les droits et les devoirs respectifs des parties découlant de la convention d’affiliation, puisqu’elle disposait d’une copie de</w:t>
      </w:r>
    </w:p>
    <w:p>
      <w:r>
        <w:t>A/3769/2017 - 9/13 - ce document. Elle n’a pas contesté l’extrait de compte du 7 septembre 2017 faisant état d’un solde de CHF 11'049.50 au 3 janvier 2017, alors même qu’elle aurait pu se rendre compte qu’après la fin du contrat, les intérêts débiteurs ne pouvaient courir et s’ajouter au capital. En effet, si le ch. 5.4 de la convention d’affiliation prévoit que des intérêts débiteurs sont facturés pour des paiements effectués avec retard et que tout solde à la fin d’une année, y compris lesdits intérêts, sont reportés à l’année civile suivante à titre de créance en capital, il n’en demeure pas moins qu’une fois le contrat résilié, cette clause  qui n’est plus en vigueur  n’est plus applicable. L’erreur ne saurait donc être considérée comme essentielle. Par conséquent, la défenderesse est demeurée débitrice de la somme de CHF 11'049.50, correspondant aux cotisations des employés restées impayées au 3 janvier 2017, intérêts débiteurs et frais administratifs compris (sommation et poursuite). c/dd. En revanche, les intérêts débiteurs, calculés à CHF 273.45 pour la période du 1er janvier au 28 juin 2017, lesquels ne sont pas comptabilisés dans l’extrait de compte précité tenu pour approuvé, ne sont pas dus, dans la mesure où le contrat a été résilié au 29 février 2016.</w:t>
      </w:r>
    </w:p>
    <w:p>
      <w:r>
        <w:rPr>
          <w:b/>
        </w:rPr>
        <w:t>E. 8</w:t>
      </w:r>
    </w:p>
    <w:p>
      <w:r>
        <w:t>a. La demanderesse conclut à l’octroi d’intérêts moratoires à 5% dès le 29 juin 2017 sur le montant de la créance de CHF 11'049.50. b. À défaut de disposition réglementaire topique, le taux d’intérêt moratoire est effectivement de 5% (cf. consid. 4 ci-dessus). c. L'intérêt moratoire ne court en principe que dès la mise en demeure du débiteur par l'interpellation (art. 102 al. 1 et 104 al. 1 CO). L'interpellation est une déclaration de volonté que le créancier adresse au débiteur pour lui faire savoir qu'il exige la prestation sans délai. L'interpellation doit désigner la prestation à effectuer d'une manière suffisamment exacte pour que le débiteur comprenne ce que le créancier entend réclamer. S'il s'agit d'une créance d'argent, il faut en règle générale préciser son montant (ATF 129 III 535, JdT 2003 I 590 consid. 3.2.2). L’interpellation est sujette à réception et déploie, en principe, ses effets dès que le débiteur la reçoit, par exemple lors de la notification d’un commandement de payer. L’interpellation est reçue lorsqu’elle entre dans la sphère de puissance du débiteur, qui supporte donc le risque de ne pas en avoir pris effectivement connaissance (Luc THÉVENOZ, Commentaire romand Code des obligations I, 2012, n. 19 ad art. 102 CO). In casu, le solde réclamé a un caractère évolutif, car il comprend notamment, outre les cotisations dues à l’expiration du terme prévu, les intérêts débiteurs et créditeurs. Dans ces circonstances, une interpellation était nécessaire. Il ressort toutefois de l’extrait de compte du 7 septembre 2017 que la demanderesse n’a pas formellement interpellé la défenderesse entre le 3 janvier 2017, date à laquelle la créance réclamée a été arrêtée, et le 18 juillet 2017, date de la réquisition de poursuite. Partant, il y a lieu de considérer que le solde de la créance, qui n’a pas</w:t>
      </w:r>
    </w:p>
    <w:p>
      <w:r>
        <w:t>A/3769/2017 - 10/13 - fait l’objet d’une sommation, portera intérêt à partir du lendemain de la notification du commandement de payer, soit dès le 10 août 2017.</w:t>
      </w:r>
    </w:p>
    <w:p>
      <w:r>
        <w:rPr>
          <w:b/>
        </w:rPr>
        <w:t>E. 9</w:t>
      </w:r>
    </w:p>
    <w:p>
      <w:r>
        <w:t>Quant à l’indemnité de gestion de CHF 500.-, exigée par la demanderesse, il y a lieu de l’admettre, dès lors qu’elle est prévue par le règlement pour frais de gestion, lequel fait partie intégrante de la convention d’affiliation. On relèvera que les frais de gestion supplémentaires de CHF 500.-, intégrés dans l’extrait de compte précité, se rapportent à la précédente réquisition de poursuite (cf. courrier de la demanderesse du 10 septembre 2015), laquelle a ensuite été annulée par la poursuite n° 2______ (ici en cause), de sorte que lesdits frais ne sont pas doublement comptabilisés.</w:t>
      </w:r>
    </w:p>
    <w:p>
      <w:r>
        <w:rPr>
          <w:b/>
        </w:rPr>
        <w:t>E. 10</w:t>
      </w:r>
    </w:p>
    <w:p>
      <w:r>
        <w:t>a. Reste à examiner la conclusion de la demanderesse tendant à obtenir la mainlevée définitive de l’opposition formée au commandement de payer dans la poursuite n°2______ . b. 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c. À teneur de l’art. 88 al. 2 LP, le droit du créancier de requérir la continuation de la poursuite se périme par un an à compter de la notification du commandement de</w:t>
      </w:r>
    </w:p>
    <w:p>
      <w:r>
        <w:t>A/3769/2017 - 11/13 - payer (première phrase); si opposition a été formée, ce délai ne court pas entre l'introduction de la procédure judiciaire ou administrative et le jugement définitif (seconde phrase).</w:t>
      </w:r>
    </w:p>
    <w:p>
      <w:r>
        <w:rPr>
          <w:b/>
        </w:rPr>
        <w:t>E. 11</w:t>
      </w:r>
    </w:p>
    <w:p>
      <w:r>
        <w:t>a. En l’occurrence, comme exposé ci-dessus, la chambre de céans est compétente pour prononcer la mainlevée définitive d’une opposition à un commandement de payer. In casu, le commandement de payer a été notifié à la défenderesse le 9 août 2017, date à laquelle le délai de péremption d’un an a commencé à courir (ATF 125 III 45 consid. 3b). Par conséquent, la poursuite n'était pas périmée lorsque la demanderesse a saisi la chambre de céans le 15 septembre 2017 (étant au demeurant relevé qu’en vertu de l’art. 65 al. 2 LP, Mme B______, employée de la défenderesse [entreprise exploitée sous forme de Sàrl], était bel et bien subsidiairement habilitée à recevoir le commandement de payer). b. En outre, la défenderesse ne soulève aucune exception énumérée à l’art. 81 LP (extinction de la dette, obtention d’un sursis ou de la prescription). c. Par ailleurs, il y a lieu de rappeler qu’en vertu de l’art. 79 LP, le créancier agit par la voie de la procédure civile ou administrative pour faire reconnaître son droit. Il ne peut requérir la continuation de la poursuite qu'en se fondant sur une décision exécutoire qui écarte expressément l'opposition. c/aa. La décision doit à la fois condamner le débiteur au paiement d’une somme d’argent et, accessoirement, lever à due concurrence la mainlevée. La raison de cette double exigence est d’assurer l’indispensable identité entre la prétention déduite en poursuite et la créance qui fait l’objet d’un jugement (André SCHMIDT, Poursuite et faillite : commentaire de la Loi fédérale sur la poursuite pour dettes et la faillite ainsi que des articles 166 à 175 de la Loi fédérale sur le droit international privé, 2005, n. 25 ad art. 79 LP). c/bb. En l’espèce, le commandement de payer dans la poursuite en cause énonce uniquement, à titre de prétendues créances, les cotisations découlant du contrat de prévoyance n° 1______ et les intérêts du 1er janvier au 28 juin 2017. La créance de CHF 500.- relative aux frais de gestion supplémentaires doit donc faire l’objet d’une poursuite distincte, dès lors que la poursuite pendante n° 2______ ne pourra être continuée que pour les créances reconnues par le juge et figurant dans le commandement de payer. d. Enfin, en ce qui concerne les frais de poursuite, ils sont d'office supportés par le débiteur lorsque la poursuite aboutit (JdT 1974 III 32). Il n'y a donc pas lieu de prononcer la mainlevée définitive pour les frais du commandement de payer, dont le sort suit celui de la poursuite (art. 68 LP) (arrêt du Tribunal fédéral 5A_8/2008 du 11 avril 2008 consid. 4).</w:t>
      </w:r>
    </w:p>
    <w:p>
      <w:r>
        <w:rPr>
          <w:b/>
        </w:rPr>
        <w:t>E. 12</w:t>
      </w:r>
    </w:p>
    <w:p>
      <w:r>
        <w:t>Sur le vu de ce qui précède, il y a lieu d’admettre partiellement les conclusions de la demanderesse, en ce sens que la défenderesse sera condamnée à lui payer la</w:t>
      </w:r>
    </w:p>
    <w:p>
      <w:r>
        <w:t>A/3769/2017 - 12/13 - somme de CHF 11'049.50, avec intérêts à 5% dès le 10 août 2017, ainsi qu’une indemnité de gestion de CHF 500.-. En outre, la mainlevée définitive de l'opposition au commandement de payer (poursuite n° 2______ ) doit être prononcée à concurrence de CHF 11'049.50, avec intérêts à 5% dès le 10 août 2017.</w:t>
      </w:r>
    </w:p>
    <w:p>
      <w:r>
        <w:rPr>
          <w:b/>
        </w:rPr>
        <w:t>E. 13</w:t>
      </w:r>
    </w:p>
    <w:p>
      <w:r>
        <w:t>a. La demanderesse conclut à ce que la défenderesse soit condamnée aux frais et dépens de la procédure. b. L'art. 73 al. 2 LPP précise que les cantons doivent prévoir une procédure simple, rapide et, en principe, gratuite. L'art. 89H al. 1 LPA prévoit quant à lui que la procédure est gratuite pour les parties, sous réserve de l'al. 4 (relatif à l’assurance- invalidité). Toutefois, les débours et un émolument peuvent être mis à la charge de la partie qui agit de manière téméraire ou témoigne de légèreté. Une indemnité est allouée au recourant qui obtient gain de cause (art. 89H al. 3 LPA). c. En l’espèce, la demanderesse, non assistée par un avocat indépendant, qui agit en qualité d'organisme chargé de tâches de droit public, n’a pas droit à des dépens (arrêt du Tribunal fédéral 9C_927/2010 du 4 août 2011 consid. 6 et les références citées). En outre, une témérité de la part de la défenderesse ne sera pas retenue, de sorte que celle-ci ne sera pas condamnée au paiement d’un émolument.</w:t>
      </w:r>
    </w:p>
    <w:p>
      <w:r>
        <w:t>A/3769/2017 - 13/13 -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