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ATAS/720/2021 vom 30. Juni 2021</w:t>
      </w:r>
    </w:p>
    <w:p>
      <w:r>
        <w:t>GE Cour de justice, 2021-06-30, FR</w:t>
      </w:r>
    </w:p>
    <w:p>
      <w:r>
        <w:rPr>
          <w:b/>
        </w:rPr>
        <w:t xml:space="preserve">Quelle: </w:t>
      </w:r>
      <w:r>
        <w:t>https://mcp.opencaselaw.ch/entscheid/ge_gerichte_ATAS_720_2021</w:t>
      </w:r>
    </w:p>
    <w:p>
      <w:r>
        <w:t>FR: GE_GERICHTE ATAS/720/2021 du 30 juin 2021</w:t>
      </w:r>
    </w:p>
    <w:p>
      <w:r>
        <w:t>IT: GE_GERICHTE ATAS/720/2021 del 30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A/1152/2021 - 4/9 -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du droit à l'indemnité de la recourante, pour une durée de 31 jours.</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w:t>
      </w:r>
    </w:p>
    <w:p>
      <w:r>
        <w:t>A/1152/2021 - 5/9 -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w:t>
      </w:r>
    </w:p>
    <w:p>
      <w:r>
        <w:t>A/1152/2021 - 6/9 - d'accepter un emploi convenable pour qu'une sanction puisse être prononcée en cas de refus d'emploi (Boris RUBIN, op. cit., n. 11 ad art. 16, n. 63 ad art. 30). c.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w:t>
      </w:r>
    </w:p>
    <w:p>
      <w:r>
        <w:rPr>
          <w:b/>
        </w:rPr>
        <w:t>E. 4.2</w:t>
      </w:r>
    </w:p>
    <w:p>
      <w:r>
        <w:t>; 8C_601/2012 consid. 4.2, non publié in ATF 139 V 164 et les références).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d. Selon l'art. 30 al. 2 LACI, l'autorité cantonale prononce les suspensions au sens de l'al. 1 (not. let. c et d). Dans d'autres cas, ce sont les caisses qui statuent.</w:t>
      </w:r>
    </w:p>
    <w:p>
      <w:r>
        <w:rPr>
          <w:b/>
        </w:rPr>
        <w:t>E. 5</w:t>
      </w:r>
    </w:p>
    <w:p>
      <w:r>
        <w:t>En l’espèce, la recourante ne nie pas n’avoir pas satisfait, sur le plan du principe, à l'obligation qu'impose l'art. 17 al. 1 phr. 1 LACI d'entreprendre tout ce qu'on peut raisonnablement exiger d’elle pour abréger le chômage. Ne pas donner suite à une assignation à postuler pour un emploi à repourvoir représente en effet une violation de l'obligation de diminuer le dommage ; cela revient à laisser échapper une possibilité concrète - quoiqu’incertaine - de retrouver un travail ; le comportement de l'assurée importe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Ainsi, le défaut de candidature déposée est-il assimilé, sur le plan du principe, à un refus d'un emploi convenable, autrement dit à la violation d'une obligation qui, à l'instar de celle d'accepter un travail convenable, revêt une importance indéniable</w:t>
      </w:r>
    </w:p>
    <w:p>
      <w:r>
        <w:t>A/1152/2021 - 7/9 - (arrêt du Tribunal fédéral des assurances U 368/99 du 16 mars 2000 ; ATAS/344/2017 du 2 mai 2017 consid. 5). L'oubli de la recourante justifie ainsi une suspension du droit à l'indemnité de chômage en application de l'art. 30 al. 1 let. d LACI.</w:t>
      </w:r>
    </w:p>
    <w:p>
      <w:r>
        <w:rPr>
          <w:b/>
        </w:rPr>
        <w:t>E. 6</w:t>
      </w:r>
    </w:p>
    <w:p>
      <w:r>
        <w:t>Reste à examiner si la quotité de la sanction, au regard de l’ensemble des circonstances, est proportionnée. D'après l'art. 45 al. 4 let. b OACI, le refus, sans motif valable, d'un emploi réputé convenable constitue une faute grave, autrement dit implique normalement le prononcé d'une suspension du droit à l'indemnité de chômage pour une durée de 31 à 60 jours (art. 45 al. 3 let. c OACI). En l’occurrence, l’intimé s’est considéré lié par le minimum de 31 jours prévu par l’art. 45 al. 4 OACI et repris par le ch. D 79 du Bulletin LACI IC publié par le SECO (ci-après : barème SECO). Toutefois, des circonstances particulières pouvaient justifier de s’écarter de la présomption qu’un défaut de suite donnée à une assignation procède d’une faute grave et doit dès lors, s’agissant d’un premier manquement, donner lieu à une suspension minimale de trente et un jours du droit à l’indemnité de chômage, laquelle équivaut à près d’un mois et demi sans rémunération, (étant rappelé que seuls les jours ouvrables sont concernés par une suspension du droit à l’indemnité de chômage, cinq indemnités journalières étant payées par semaine [art. 21 phr. 2 LACI]). En effet, la recourante a reçu deux assignations le même jour, avec un délai identique pour y répondre et a, au degré de la vraisemblance prépondérante, confondu les deux assignations du 25 juin 2020, oubliant de répondre à l’une des deux. Étant encore précisé qu’en l’espace d’un mois, la recourante a répondu à six assignations à postuler à un emploi, notamment du 28 mai 2020 (réceptionniste), du 3 juin 2020 (réceptionniste), du 15 juin 2020 (réceptionniste), du 17 juin 2020 (commise administrative), du 23 juin 2020 (réceptionniste itinérante) et du 25 juin 2020 (secrétaire-réceptionniste). Il sied encore d’ajouter que depuis son inscription à l’ORP, la recourante a répondu à toutes les exigences de son statut de demandeuse d’emploi, notamment en faisant les recherches d’emploi et en suivant les cours, formations et assignations requis par l’intimé. La situation de mère célibataire de la recourante, élevant seule ses deux enfants en bas âge et ayant toujours respecté ses devoirs de chômeuse, doit être prise en compte, de même que la cause de l’omission, qui ne résulte pas d’une volonté délibérée de ne pas postuler à un emploi ne correspondant pas au profil ou aux aspirations de la recourante, mais d’un oubli.</w:t>
      </w:r>
    </w:p>
    <w:p>
      <w:r>
        <w:t>A/1152/2021 - 8/9 - Il s’agit donc d’un manquement isolé, mais dont l’importance ne doit toutefois pas être niée ; la recourante en est d’ailleurs consciente, qui reconnait le travail « extraordinaire » accompli par son conseiller et le soutien prodigué par ce dernier.</w:t>
      </w:r>
    </w:p>
    <w:p>
      <w:r>
        <w:rPr>
          <w:b/>
        </w:rPr>
        <w:t>E. 7</w:t>
      </w:r>
    </w:p>
    <w:p>
      <w:r>
        <w:t>La chambre de céans, pour les motifs pertinents précités, considère qu’en l’espèce la faute de la recourante était de gravité moyenne, devant donner lieu au prononcé d’une suspension de vingt-trois jours du droit à l’indemnité de chômage, en lieu et place de trente et un jours, ce qui correspond à la fourchette de sanction du ch. D79, 2A, ch. 6 (faute moyenne) du barème SECO.</w:t>
      </w:r>
    </w:p>
    <w:p>
      <w:r>
        <w:rPr>
          <w:b/>
        </w:rPr>
        <w:t>E. 8</w:t>
      </w:r>
    </w:p>
    <w:p>
      <w:r>
        <w:t>Admettant ainsi partiellement le recours, elle réformera la décision attaquée dans le sens précité.</w:t>
      </w:r>
    </w:p>
    <w:p>
      <w:r>
        <w:rPr>
          <w:b/>
        </w:rPr>
        <w:t>E. 9</w:t>
      </w:r>
    </w:p>
    <w:p>
      <w:r>
        <w:t>Pour le surplus, la procédure est gratuite (art. 61 let. a LPGA).</w:t>
      </w:r>
    </w:p>
    <w:p>
      <w:r>
        <w:t>A/1152/2021 - 9/9 -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