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ATAS/720/2018 vom 22. August 2018</w:t>
      </w:r>
    </w:p>
    <w:p>
      <w:r>
        <w:t>GE Cour de justice, 2018-08-22, FR</w:t>
      </w:r>
    </w:p>
    <w:p>
      <w:r>
        <w:rPr>
          <w:b/>
        </w:rPr>
        <w:t xml:space="preserve">Quelle: </w:t>
      </w:r>
      <w:r>
        <w:t>https://mcp.opencaselaw.ch/entscheid/ge_gerichte_ATAS_720_2018</w:t>
      </w:r>
    </w:p>
    <w:p>
      <w:r>
        <w:t>FR: GE_GERICHTE ATAS/720/2018 du 22 août 2018</w:t>
      </w:r>
    </w:p>
    <w:p>
      <w:r>
        <w:t>IT: GE_GERICHTE ATAS/720/2018 del 22 agosto 2018</w:t>
      </w:r>
    </w:p>
    <w:p>
      <w:pPr>
        <w:pStyle w:val="Heading2"/>
      </w:pPr>
      <w:r>
        <w:t>Volltext</w:t>
      </w:r>
    </w:p>
    <w:p>
      <w:r>
        <w:t>Siégeant : Catherine TAPPONNIER, Présidente; Christine LUZZATTO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A/2263/2018 ATAS/720/2018 COUR DE JUSTICE Chambre des assurances sociales Arrêt du 22 août 2018 4ème Chambre</w:t>
      </w:r>
    </w:p>
    <w:p>
      <w:r>
        <w:t>En la cause Monsieur A______, domicilié à GENÈVE, comparant avec élection de domicile en l'étude de Maître Lida LAVI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A/2263/2018 - 2/2 - Vu la décision sur opposition 16 mai 2018 de la caisse cantonale genevoise de compensation confirmant sa décision du 24 janvier 2017 à l’encontre de Monsieur A______ (ci-après l’intéressé ou le recourant) ; Vu le recours de l’intéressé, par l’intermédiaire de son conseil, du 2 juillet 2018 ; Attendu que par courrier du 20 août 2018, le conseil du recourant a indiqué que ce dernier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