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ATAS/720/2011 vom 28. Juli 2011</w:t>
      </w:r>
    </w:p>
    <w:p>
      <w:r>
        <w:t>GE Cour de justice, 2011-07-28, FR</w:t>
      </w:r>
    </w:p>
    <w:p>
      <w:r>
        <w:rPr>
          <w:b/>
        </w:rPr>
        <w:t xml:space="preserve">Quelle: </w:t>
      </w:r>
      <w:r>
        <w:t>https://mcp.opencaselaw.ch/entscheid/ge_gerichte_ATAS_720_2011</w:t>
      </w:r>
    </w:p>
    <w:p>
      <w:r>
        <w:t>FR: GE_GERICHTE ATAS/720/2011 du 28 juillet 2011</w:t>
      </w:r>
    </w:p>
    <w:p>
      <w:r>
        <w:t>IT: GE_GERICHTE ATAS/720/2011 del 28 luglio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3 décembre 2010,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Interjeté dans les forme et délai prévus par la loi, le recours est recevable (art. 56 et 60 LPGA).</w:t>
      </w:r>
    </w:p>
    <w:p>
      <w:r>
        <w:rPr>
          <w:b/>
        </w:rPr>
        <w:t>E. 4</w:t>
      </w:r>
    </w:p>
    <w:p>
      <w:r>
        <w:t>Le litige consiste à déterminer si le recourant a droit à une rente d’invalidité en raison des atteintes à la santé qu’il présente.</w:t>
      </w:r>
    </w:p>
    <w:p>
      <w:r>
        <w:rPr>
          <w:b/>
        </w:rPr>
        <w:t>E. 5</w:t>
      </w:r>
    </w:p>
    <w:p>
      <w:r>
        <w:t>L’intimé est d’avis que le degré d’invalidité du recourant a déjà été fixé par arrêt du TCAS du 23 juillet 2009 entré en force (ATAS/982/2009), de sorte qu’il ne peut être réexaminé. Il y a lieu de rappeler qu’il y a autorité de chose jugée, du point de vue matériel, lorsque le litige a le même objet que celui sur lequel s’est déjà prononcée l’autorité - judiciaire ou administrative - par un jugement ou une décision passée en force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w:t>
      </w:r>
    </w:p>
    <w:p>
      <w:r>
        <w:t>A/144/2011 - 8/13 - régularité d’un acte constatée sur recours ou action soit indéfiniment remise en question et, partant, que le même contrôle soit mis en œuvre indéfiniment (MOOR, Droit administratif, volume II, Berne 2002, p. 324). La jurisprudence considère que l’autorité de chose jugée ne s’attache qu’au seul dispositif de la décision ou du jugement et non à ses motifs (ATF 115 V 418 consid. 3b/aa ; 113 V 159).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du</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t>A/144/2011 - 9/13 -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Les organes d'observation professionnelle ont pour fonction de compléter les données médicales en examinant concrètement dans quelle mesure l'assuré est à même de mettre en valeur une capacité de travail et de gain sur le marché du travail (cf. Karl Abegg, Coup d'œil sur l'activité des centres d'observation professionnelle de l'AI [COPAI], in RCC 1985, p. 246 ss). En particulier, lorsque l'appréciation d'un COPAI diverge sensiblement de celle des médecins d'un COMAI, il incombe à l'administration ou, en cas de recours, au juge de confronter les deux appréciations, au besoin en requérant un complément d'instruction de la part du COPAI ou du COMAI (consid. 4.3, publié dans Plädoyer 2004/3 p. 64, de l'arrêt G. du 24 octobre 2003, I 35/03).</w:t>
      </w:r>
    </w:p>
    <w:p>
      <w:r>
        <w:t>A/144/2011 - 10/13 -</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t>A/144/2011 - 11/13 -</w:t>
      </w:r>
    </w:p>
    <w:p>
      <w:r>
        <w:rPr>
          <w:b/>
        </w:rPr>
        <w:t>E. 9</w:t>
      </w:r>
    </w:p>
    <w:p>
      <w:r>
        <w:t>En l’occurrence, l’intimé a retenu que le recourant présente, compte tenu de ses atteintes à la santé, une capacité de travail à 100% dans une activité adaptée, à savoir en position assise, sans baisse de rendement. Le recourant allègue que son état de santé ne lui permet pas d’exercer une activité à plein temps. Dans le cadre de l’instruction du dossier du recourant, le Dr A__________ a estimé qu’en raison d’une paraplégie incomplète, d’une vessie et d’un intestin neurogènes, le recourant ne peut plus exercer son activité habituelle. Par contre, il avait une capacité de travail totale dans une activité adaptée, soit en position assise durant dix heures par jour, le port de charges jusqu’à 20 kg et l’utilisation de ses deux bras (rapport du 19 février 2002.) Le SMR s’est rallié à cette estimation (avis des 30 septembre 2003, 28 septembre 2006 et 11 novembre 2010). A la suite d’un stage d’observation professionnelle effectué auprès des EPI du 8 février au 9 mai 2010, il a été constaté que les capacités résiduelles du recourant étaient difficilement compatibles avec un emploi à plein temps sans souplesse d’adaptation de l’horaire possible (rapport du 2 juin 2010). A la lecture de l’ensemble des pièces versées au dossier, la Cour de céans constate que l’intimé a fixé la capacité de travail résiduelle du recourant, soit 100% dans une activité adaptée, en se fondant uniquement sur l’appréciation du 19 février 2002 du Dr A__________, à l’exclusion de l’appréciation professionnelle effectuée le 2 juin 2010 par les EPI. Pourtant, les conclusions des EPI - selon lesquelles le recourant présente une baisse de la résistance physique et de sa capacité de concentration dès le début de l’après-midi, à quoi s’ajoute la nécessité de changer les sondes dans de bonnes conditions, de sorte qu’un poste à plein temps n’est pas approprié - sont corroborées par celles de leur médecin-conseil, le Dr F__________, pour qui le recourant ne peut effectuer un plein temps en raison des fourmillements dans les deux mains et des spasmes musculaires des membres inférieurs apparaissant après quelques heures d’activités (rapport du 10 février 2010) ainsi que par celles de la Dresse D__________, pour qui seul un temps partiel est envisageable au vu des pathologies présentées par le recourant et des complications qui en découlent (rapports des 5/6 avril 2006, 9 juillet 2008 et 18 octobre 2010). On relèvera par ailleurs que les experts en réadaptation ont observé que le recourant s’est engagé pleinement dans la mesure d’observation professionnelle mise en œuvre par l’intimé, qu’il s’est bien intégré à l’équipe et qu’il a démontré un intérêt pour le travail proposé. La Cour de céans observe ainsi que les difficultés présentées par le recourant à maintenir un rythme régulier de travail sur une journée entière ne semblent pas relever d’un manque de motivation de la part du recourant, mais seraient dues aux restrictions d’ordre physique, comme l’a au demeurant constaté le Dr F__________ dans son rapport du 10 février 2010. Ainsi, il y a lieu de constater que les conclusions des EPI, loin de compléter les données médicales fournies par le Dr A__________ quant à la capacité de travail</w:t>
      </w:r>
    </w:p>
    <w:p>
      <w:r>
        <w:t>A/144/2011 - 12/13 - exigible de la part du recourant, divergent sensiblement de celles-ci, de sorte qu’il n’est pas possible de statuer en l’état du dossier. Qui plus est, il apparaît que les limitations fonctionnelles constatées par le Dr A__________ - dont on relèvera que le rapport remonte au 19 février 2002, soit plus de huit ans avant que la décision litigieuse n’ait été rendue (le 3 décembre 2010) - se sont péjorées. Ainsi, si le Dr A__________ estimait en 2002 que le recourant pouvait rester en position assise durant dix heures par jour, porter une charge pesant jusqu’à 20 kg et utiliser complètement ses deux bras (rapport du 19 février 2002), tel n’est plus le cas en 2010, le Dr F__________ ayant constaté qu’après quelques heures d’activités, le recourant présente des spasmes musculaires des membres inférieurs et des fourmillements dans les deux mains (rapport du 10 février 2010). Or, ni le SMR, ni l’intimé, ne se sont déterminés sur ces constatations. A cela s’ajoute le fait que le recourant présente une nouvelle atteinte de type polyneuropathique, probablement d’origine diabétique selon la Dresse D__________ (rapport du 18 octobre 2010), au sujet de laquelle ni le SMR, ni l’intimé, ne se sont prononcés. En pareilles circonstances, vu l’absence de renseignements probants récoltés par l’intimé, la Cour de céans ne peut pas se prononcer sur la capacité de travail résiduelle du recourant. Il se justifie dès lors de renvoyer la cause à l'office intimé pour qu'il procède à une instruction complémentaire sous la forme d'une expertise neurologique. En cas de nécessité, un nouveau stage d’observation professionnelle visant à clarifier le rendement exigible de l’intéressé compte tenu de ses limitations fonctionnelles posées médicalement, sera organisé. Une fois ces mesures d’instruction effectuées, il appartiendra à l’intimé d’évaluer le taux d’invalidité et de rendre une décision.</w:t>
      </w:r>
    </w:p>
    <w:p>
      <w:r>
        <w:rPr>
          <w:b/>
        </w:rPr>
        <w:t>E. 10</w:t>
      </w:r>
    </w:p>
    <w:p>
      <w:r>
        <w:t>Vu ce qui précède, le recours sera admis, la décision querellée annulée et le dossier renvoyé à l’autorité administrative afin qu’elle procède conformément aux considérants. Eu égard à l’issue du litige, l’intimé versera au recourant la somme de 1'000 fr. à titre de participation à ses dépens et s’acquittera d’un montant de 500 fr. correspondant à l’émolument de justice.</w:t>
      </w:r>
    </w:p>
    <w:p>
      <w:r>
        <w:t>A/144/2011 - 13/13 -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