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ATAS/71/2025 vom 5. Februar 2025</w:t>
      </w:r>
    </w:p>
    <w:p>
      <w:r>
        <w:t>GE Cour de justice, 2025-02-05, FR</w:t>
      </w:r>
    </w:p>
    <w:p>
      <w:r>
        <w:rPr>
          <w:b/>
        </w:rPr>
        <w:t xml:space="preserve">Quelle: </w:t>
      </w:r>
      <w:r>
        <w:t>https://mcp.opencaselaw.ch/entscheid/ge_gerichte_ATAS_71_2025</w:t>
      </w:r>
    </w:p>
    <w:p>
      <w:r>
        <w:t>FR: GE_GERICHTE ATAS/71/2025 du 5 février 2025</w:t>
      </w:r>
    </w:p>
    <w:p>
      <w:r>
        <w:t>IT: GE_GERICHTE ATAS/71/2025 del 5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t>A/364/2024 - 5/18 -</w:t>
      </w:r>
    </w:p>
    <w:p>
      <w:r>
        <w:rPr>
          <w:b/>
        </w:rPr>
        <w:t>E. 2</w:t>
      </w:r>
    </w:p>
    <w:p>
      <w:r>
        <w:t>Le litige porte sur la date de fin du droit aux indemnités journalières du recourant, son droit à une rente d’invalidité et le montant de l’IPAI.</w:t>
      </w:r>
    </w:p>
    <w:p>
      <w:r>
        <w:rPr>
          <w:b/>
        </w:rPr>
        <w:t>E. 3.1.1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au moins par suite d’un accident, il a droit à une rente d'invalidité, pour autant que l’accident soit survenu avant l’âge ordinaire de la retraite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w:t>
      </w:r>
    </w:p>
    <w:p>
      <w:r>
        <w:t>A/364/2024 - 6/18 - mise en oeuvre.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1e phrase, LPGA). En cas d’incapacité de travail de longue durée, l’activité qui peut être exigée de lui peut aussi relever d’une autre profession ou d’un autre domaine d’activité (art. 6, 2e phrase,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phr. 2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2e phrase, LAA), l'assureur-accidents n'est pas</w:t>
      </w:r>
    </w:p>
    <w:p>
      <w:r>
        <w:t>A/364/2024 - 7/18 -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w:t>
      </w:r>
    </w:p>
    <w:p>
      <w:r>
        <w:rPr>
          <w:b/>
        </w:rPr>
        <w:t>E. 3.1.2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w:t>
      </w:r>
    </w:p>
    <w:p>
      <w:r>
        <w:t>A/364/2024 - 8/18 -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3.2</w:t>
      </w:r>
    </w:p>
    <w:p>
      <w:r>
        <w:t>En l’espèce, dans sa décision du 30 janvier 2023, la SUVA a informé le recourant qu’elle mettait fin au paiement des soins médicaux et de l’indemnité journalière avec effet au 28 février 2023, car l’examen médical du Dr C______ avait révélé qu’il n’avait plus besoin de traitement dès cette date.</w:t>
      </w:r>
    </w:p>
    <w:p>
      <w:r>
        <w:t>A/364/2024 - 9/18 - Dans son rapport du 16 janvier 2023, le Dr C______ a indiqué que compte tenu de ses constatations du 12 janvier 2023, de la non-progression de la mobilité depuis plus de deux mois en rééducation, alors que la force avait récupéré, d’une relative indolence de l’épaule, de l’absence de consommation régulière de paracétamol, le cas évoluait vers une stabilisation et les deux séances hebdomadaires de rééducation ne pouvaient faire progresser de manière significative l’état de santé de l’assuré au-delà du 28 février 2023, date de la stabilisation. Le recourant fait valoir que son cas n’était pas stabilisé jusqu’à sa reprise d’emploi, le 9 novembre 2023, se référant à un certificat médical de la Dre D______ ainsi qu’au rapport de la CRR du 18 août 2023. Le 17 février 2023 la docteure D______, spécialiste FMH en chirurgie orthopédique et traumatologie de l’appareil locomoteur, a fait état d’une régression de la mobilité de l’épaule gauche de l’assuré. La mobilité était toujours très limitée et l’assuré présentait une épaule bloquée. Il était adressé pour une échographie afin de réévaluer son épaule. Une infiltration gléno-humérale avec distension au sérum froid lui était proposée. Son arrêt de travail était prolongé d’un mois. Le 20 février 2023, le recourant a subi une infiltration de l’épaule par le docteur F______, spécialiste FMH en radiologie. Une échographie de l’épaule gauche du recourant a été effectuée le 20 février 2023 par la docteure G______, qui a conclu qu’il n’y avait pas d’argument pour une rupture itérative du tendon sus-épineux, un status post-ténotomie fixation du tendon du long chef du biceps, sans rétraction et une bursite sous-acromio- deltoïdienne modérée. La CRR a indiqué dans son rapport du 18 août 2023 que la situation était stabilisée du point de vue médical. La poursuite d’un traitement de physiothérapie pourrait permettre d’améliorer la mobilité de l’épaule ainsi que la force et l’endurance du membre supérieur gauche, mais serait sans effet sur les limitations fonctionnelles. Aucune nouvelle intervention chirurgicale n’était proposée par leur consultant spécialisé en chirurgie de l’épaule. Il résulte des rapports médicaux précités que la date de stabilisation de l’état de santé du recourant au 28 février 2023 doit être confirmée, dès lors qu’il en ressort qu’aucun traitement médical pouvant améliorer sensiblement son état de santé n’était prévu après cette date. L’aggravation de la mobilité de l’épaule constatée par la Dre D______ n’apparaît pas déterminante au niveau des limitations fonctionnelles, puisqu’elle relevait tant dans ses rapports des 27 janvier et 17 février 2023 que le recourant souffrait d’une épaule gauche gelée. De plus, son dernier rapport était antérieur à l’infiltration du 20 février 2023, qui selon la CRR, a permis une amélioration des douleurs durant quelques semaines. Par la suite, aucun autre rapport médical ne propose un</w:t>
      </w:r>
    </w:p>
    <w:p>
      <w:r>
        <w:t>A/364/2024 - 10/18 - nouveau traitement hormis de la physiothérapie, ce qui ne suffit pas à retenir qu’un état de santé n’est pas stabilisé. En conclusion, c’est à juste titre que l’intimée a mis fin au paiement des soins médicaux et de l’indemnité journalière pour le recourant au 28 février 2023.</w:t>
      </w:r>
    </w:p>
    <w:p>
      <w:r>
        <w:rPr>
          <w:b/>
        </w:rPr>
        <w:t>E. 3.3</w:t>
      </w:r>
    </w:p>
    <w:p>
      <w:r>
        <w:t>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w:t>
      </w:r>
    </w:p>
    <w:p>
      <w:r>
        <w:t>A/364/2024 - 12/18 - peut pas, sans motif pertinent, substituer sa propre appréciation à celle de l'administration; il doit s'appuyer sur des circonstances de nature à faire apparaître sa propre appréciation comme la mieux appropriée (ATF 137 V 71 consid. 5.2 et la référence).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 Le fait que l'on ne puisse raisonnablement exiger de l’assuré que des travaux légers ne justifie pas un abattement en raison des limitations liées au handicap, d'autant plus que les salaires statistiques de niveau de qualification 1 de l’ESS comprennent déjà un grand nombre de travaux légers et moyennement lourds (arrêt du Tribunal fédéral 8C_151/2020 du 15 juillet 2020 consid. 6.2 et les références). Au vu des activités simples du niveau de compétence 1, on ne saurait retenir qu’un assuré, au bénéfice d'un permis d'établissement, vivant en Suisse depuis plus de 36 ans au moment de la décision sur opposition, aurait des perspectives de gain moindres que celles d'un travailleur ayant la nationalité suisse (cf. ATF 126 V 75 consid. 5a/cc), quand bien même il maîtriserait mal le français et n'aurait pas de formation dans les activités en question, qui ne nécessitent ni formation ni expérience professionnelle spécifiques (arrêt du Tribunal fédéral 8C_682/2023 du 24 avril 2024 consid. 4.3.2 et les références).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w:t>
      </w:r>
    </w:p>
    <w:p>
      <w:r>
        <w:t>A/364/2024 - 13/18 - pouvant être compensés par d'autres éléments personnels ou professionnels tels que la formation et l'expérience professionnelles de l'assuré concerné (ATF 148 V 419 consid. 8.2 et la référence). Dans un arrêt récent rendu en matière d’assurance-invalidité,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Dans un arrêt concernant une assurée âgée de 58 ans au moment de la naissance d’un éventuel droit à la rente, le Tribunal fédéral a rappelé que dans la mesure où les activités envisagées du niveau de compétence 1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du Tribunal fédéral 8C_608/2021 du 26 avril 2022 consid. 4.3.2 et les références). L’absence d'expérience et de formation ne joue pas de rôle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(cf. arrêts 8C_118/2021 précité consid. 6.3.2 ; 8C_175/2020 du 22 septembre 2020 consid. 4.2). 8C_659/2021 du 17 février 2022. Dans ce type d’activité, il n’y a pas lieu non plus de procéder à un abattement en raison de difficultés linguistiques ou d'analphabétisme (arrêts 8C_151/2020 du 15 juillet 2020 consid. 6.3.4 et 8C_328/2011 du 7 décembre 2011 consid. 10.2). Le fait que la recherche d'emploi de l’assuré est rendue plus difficile pour des raisons linguistiques est, d'une part, étranger à l'invalidité et, d'autre part, sans pertinence dans le cadre de la question de l’abattement.</w:t>
      </w:r>
    </w:p>
    <w:p>
      <w:r>
        <w:rPr>
          <w:b/>
        </w:rPr>
        <w:t>E. 4</w:t>
      </w:r>
    </w:p>
    <w:p>
      <w:r>
        <w:t>Le recourant fait valoir qu’un abattement de 10% sur le revenu d’invalide aurait dû être retenu, ce qui lui ouvrait le droit à une rente d’invalidité.</w:t>
      </w:r>
    </w:p>
    <w:p>
      <w:r>
        <w:rPr>
          <w:b/>
        </w:rPr>
        <w:t>E. 4.1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On évalue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 Lorsqu’il s’agit de déterminer le revenu d’invalide sur la base d’un revenu effectif fluctuant, il y a lieu d’appliquer par analogie la jurisprudence relative à la détermination du revenu sans invalidité, selon laquelle il est possible de s'écarter du salaire réalisé en dernier lieu notamment lorsqu'il est soumis à des fluctuations importantes ; il faut alors procéder à une moyenne des gains réalisés sur une période relativement longue (cf. arrêt du Tribunal fédéral 8C_2/2023 du</w:t>
      </w:r>
    </w:p>
    <w:p>
      <w:r>
        <w:rPr>
          <w:b/>
        </w:rPr>
        <w:t>E. 4.2</w:t>
      </w:r>
    </w:p>
    <w:p>
      <w:r>
        <w:t>En l’occurrence, le recourant fait valoir que l’abattement sur le revenu avec invalidité devait être porté à 10% et non seulement 5%, compte tenu de sa situation personnelle et de ses nombreuses limitations fonctionnelles. Il ne pouvait pas faire usage de son épaule gauche et il aurait un rendement très limité dans tous</w:t>
      </w:r>
    </w:p>
    <w:p>
      <w:r>
        <w:t>A/364/2024 - 14/18 - poste manutentionnaire. De plus, il n’avait pas de réseau professionnel dans les domaines qui ne nécessitaient pas l’usage des deux bras. Par ailleurs, compte tenu de son âge et du fait qu’il était sans formation, il lui serait extrêmement difficile de trouver un emploi. Selon l’intimée, les limitations fonctionnelles invoquées par le recourant ne correspondaient pas à celles définies tant par le médecin d’assurance, suite à son examen personnel du 12 janvier 2023, que lors de son séjour à la CRR. Par ailleurs, celui-ci avait démontré être en mesure de trouver un emploi adapté à ses limitations. Rien ne justifiait d’opérer une déduction sur le salaire statistique supérieure à 5%. En l’occurrence, il y a lieu de retenir, au vu de la jurisprudence précitée, que le recourant ne remplit pas les conditions pour un abattement plus élevé que 5%, dès lors qu’une capacité de travail de 100% lui est reconnue dans une activité légère, au niveau de compétence 1 de l’ESS, qui comprend de nombreux emplois avec des tâches simples et légères compatibles avec ses limitations fonctionnelles, qui ne sont pas particulièrement sévères, dans la mesure où il ne doit pas soulever - dans l’axe du corps et jusqu’à la taille un poids supérieur à 15 kg ; - en porte-à-faux en direction de l’horizontale de façon isolée un poids supérieur à 15 kg ; - de façon rapide ou des fréquente des poids de 5 à 8 kg. L’absence de formation, l’âge et les compétences linguistiques du recourant ne jouent pas de rôle dans le type d’activité exigible de lui. Quant à son absence de réseau professionnel, elle ne justifie pas non plus un abattement, car elle n’est pas susceptible d’avoir un impact sur son salaire, mais uniquement sur sa capacité à trouver un emploi. En conclusion, la fixation d’un abattement de 5% par l’intimée doit être confirmée. 5. Le recourant conteste l’IPAI de 10% retenue par l’intimée estimant que celle-ci aurait dû retenir un taux 15%. 5.1 5.1.1 Il a fait valoir que le calcul de cette indemnité avait été effectué en deux temps. Dans un premier temps, il était fait référence à la table n°1 pour constater que l’atteinte correspondait à une indemnité de 15%. Dans un deuxième temps, il était considéré qu’il fallait procéder à un abattement de 5% pour tenir compte de facteur extérieur, soit un état antérieur. Un abattement de 5% sur l’indemnité de 15% revenait à reconnaitre une indemnité de 14.25%. Le montant de 10% retenu dans la décision correspondait à un abattement de 30% et ne correspondait pas à l’avis médical. Le recourant estime encore qu’une réduction du taux d’atteinte à l’intégrité ne se justifiait pas en application de l’art. 47 OLAA, car il était âgé de 62 ans, n’avait</w:t>
      </w:r>
    </w:p>
    <w:p>
      <w:r>
        <w:t>A/364/2024 - 15/18 - pas de formation dans un domaine adapté à ses limitations fonctionnelles et avait dû contracter des dettes auprès de proches en 2023, lorsque l’intimée avait cessé tout versement en sa faveur et que le chômage ne lui avait versé des indemnités que sur 90 jours. Son contrat de travail avait débuté le 9 novembre 2023 et avait été résilié au 28 février 2024, en raison des limitations et du rendement faible. Pour le même motif, rien n’indiquait qu’il aurait droit aux prestations de l’assurance-invalidité. De plus, il n’aurait en outre sans doute pas droit à une retraite anticipée, puisqu’il avait été contraint au travail temporaire ces dernières années. 5.1.2 L’intimé indique avoir fixé l’IPAI à 10% en se fondant sur l’avis du Dr C______, qui était probant et que rien ne permettait de s’en écarter. S’agissant de l’art. 47 OLAA, l’intimée relève que les activités ressortant du niveau de compétence 1 étaient accessibles au recourant et ne requéraient aucune formation ni expérience. Ce dernier avait d’ailleurs été en mesure de trouver un emploi rapidement. Les dettes qu’il invoquait étaient apparues à compter d’avril 2024, soit bien après le prononcé de la décision entreprise et elles ne devaient dès lors pas être prises en considération selon la jurisprudence. Il était maintenant établi que le recourant était bénéficiaire d’une rente d’invalidité de l’assurance invalidité de CHF 1'287.- dès le 1er février 2023 et qu’il avait touché un rétroactif de CHF 18’339.-. Il ne pouvait se prévaloir du fait qu’il ne touchait pas de rente de sa caisse de pension, car il avait préféré retirer son avoir. Enfin, au moment du prononcé de la décision entreprise, il percevait un salaire. En définitive, la situation personnelle et économique du recourant n’autorisait pas à revenir sur l’étendue de l’abattement opéré en raison de circonstances étrangères à l’accident. 5.2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À teneur de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En vertu de l'art. 47 OLAA, l'ampleur de la réduction des rentes et des IPAI, qui est opérée en raison de causes étrangères à l'accident, est déterminée en fonction du rôle de celles-ci dans l'atteinte à la santé ou le décès ; la situation personnelle et économique de l'ayant droit peut également être prise en considération.</w:t>
      </w:r>
    </w:p>
    <w:p>
      <w:r>
        <w:t>A/364/2024 - 16/18 - Le Tribunal fédéral a eu l'occasion de préciser que l'art. 36 al. 2 LAA ne changeait rien à l'exigence de la causalité adéquate. La réduction des prestations en application de cette disposition présuppose l'existence d'un rapport de causalité adéquate entre un accident assuré et une atteinte à la santé (ATF 121 V 326 ; 115 V 413 consid. 12c/bb). Contrairement aux rentes d'invalidité, les IPAI peuvent être réduites en raison d'un état préexistant, même si cet état n'a eu aucune incidence sur la capacité de gain de la personne assurée avant l'accident (arrêt du Tribunal fédéral 8C_91/2023 du 28 septembre 2023 consid. 7.1 et les références). L'art. 47 OLAA est de nature potestative et relève par conséquent du pouvoir d'appréciation de l'administration et du juge. Par situation personnelle et économique, on entend les charges familiales, la situation financière (revenus et fortune), ainsi que les dettes (VOLLENWEIDER/BRUNNER, in Basler Kommentar zum Unfallversicherungsgesetz, 2019, n° 36 ad art. 36 LAA et les références citées).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5.3 5.3.1 En l’occurrence, le recourant procède à un calcul erroné du taux d’atteinte à l’intégrité en l’établissant par un « abattement » de 5% du taux de 15% (soit 15% - [5% x 15%]). La réduction du taux de l’atteinte à l’intégrité a été correctement établie, selon la pratique constante en la matière, en déduisant 5% du taux 15% retenu selon la table n°1 pour arriver à 10%. L’erreur du recourant semble s’expliquer par le fait que le Dr C______ a utilisé le terme « abattement », ce qui a pu prêter à confusion, étant rappelé que l’abattement opéré sur le revenu avec invalidité dans le calcul du taux d’invalidité s’obtient en multipliant le montant de l’abattement au revenu avec invalidité puis en soustrayant le résultat obtenu du revenu avec invalidité. Par ailleurs, faute de pièce médicale remettant en cause l’appréciation du Dr C______, qui apparaît convaincante, il convient de confirmer le taux d’IPAI de 10% retenu par l’intimée. 5.3.2 S’agissant de l’application de l’art. 47 OLAA, la chambre de céans constate que la situation difficile sur plan financier alléguée par le recourant concerne une</w:t>
      </w:r>
    </w:p>
    <w:p>
      <w:r>
        <w:t>A/364/2024 - 17/18 - période limitée dans le temps et postérieure à la décision querellée, qui date du 4 janvier 2023, puisqu’il ressort de cette dernière qu’il a touché les indemnités journalières de l’intimée jusqu’au 28 février 2023 et CHF 14’820.- d’IPAI au cours du même mois. Le fait qu’il était âgé de 62 ans et n’avait pas de formation dans un domaine adapté à ses limitations fonctionnelles ne constitue pas des circonstances justifiant une exception à la réduction de l’IPAI. Il faut également prendre en considération qu’il n’avait pas de charge familiale et était propriétaire d’un bien immobilier au Portugal, sans compter que le 28 octobre 2024, l’OAI lui a octroyé une rente entière d’invalidité dès le 1er février 2021 avec le versement d’un rétroactif CHF 18'339.-, qui lui a permis de rembourser ses dettes selon ses dires. 6. Au vu de ce qui précède, le recours est rejeté. Pour le surplus, la procédure est gratuite (art. 61 let. fbis LPGA a contrario).</w:t>
      </w:r>
    </w:p>
    <w:p>
      <w:r>
        <w:t>A/364/2024 - 18/18 - PAR CES MOTIFS, LA CHAMBRE DES ASSURANCES SOCIALES : Statuant À la forme :</w:t>
      </w:r>
    </w:p>
    <w:p>
      <w:r>
        <w:rPr>
          <w:b/>
        </w:rPr>
        <w:t>E. 7</w:t>
      </w:r>
    </w:p>
    <w:p>
      <w:r>
        <w:t>septembre 2023 consid. 3.2 et les références).</w:t>
      </w:r>
    </w:p>
    <w:p>
      <w:r>
        <w:t>A/364/2024 - 11/18 -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