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ATAS/719/2025 vom 24. September 2025</w:t>
      </w:r>
    </w:p>
    <w:p>
      <w:r>
        <w:t>GE Cour de justice, 2025-09-24, FR</w:t>
      </w:r>
    </w:p>
    <w:p>
      <w:r>
        <w:rPr>
          <w:b/>
        </w:rPr>
        <w:t xml:space="preserve">Quelle: </w:t>
      </w:r>
      <w:r>
        <w:t>https://mcp.opencaselaw.ch/entscheid/ge_gerichte_ATAS_719_2025</w:t>
      </w:r>
    </w:p>
    <w:p>
      <w:r>
        <w:t>FR: GE_GERICHTE ATAS/719/2025 du 24 septembre 2025</w:t>
      </w:r>
    </w:p>
    <w:p>
      <w:r>
        <w:t>IT: GE_GERICHTE ATAS/719/2025 del 24 settembre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En matière d’assurances sociales, les décisions peuvent être attaquées dans les trente jours par voie d’opposition auprès de l’assureur qui les a rendues, à l’exception des décisions d’ordonnancement de la procédure (art. 52 al. 1 LPGA), et ce sont les décisions sur opposition (et celles contre lesquelles la voie de l’opposition n’est pas ouverte) qui sont sujettes à recours (art. 56 al. 1 LPGA). En vertu de l'art. 61 let. b LPGA, sous réserve de l’art. 1 al. 3 de la loi fédérale sur la procédure administrative du 20 décembre 1968 (PA - RS 172.021), la procédure devant le tribunal cantonal des assurances est réglée par le droit cantonal.</w:t>
      </w:r>
    </w:p>
    <w:p>
      <w:r>
        <w:t>A/2503/2025 - 3/4 - Selon l’art. 89B LPA, le recours est adressé à la chambre de céans soit par une lettre soit par un mémoire signé comportant notamment un exposé succinct des faits ou des motifs invoqués et des conclusions (al. 1). Si l’acte n’est pas conforme à ces règles, un délai convenable est imparti à son auteur pour le compléter en indiquant qu’en cas d’inobservation le recours sera écarté (al. 3).</w:t>
      </w:r>
    </w:p>
    <w:p>
      <w:r>
        <w:rPr>
          <w:b/>
        </w:rPr>
        <w:t>E. 2</w:t>
      </w:r>
    </w:p>
    <w:p>
      <w:r>
        <w:t>En l’espèce, l’assuré n'a pas complété son courrier adressé à la chambre de céans le 4 juin 2025 malgré les demandes en ce sens, son courrier doit en conséquence être déclaré irrecevable, en tant qu’il pourrait constituer un recours. La procédure est gratuite.</w:t>
      </w:r>
    </w:p>
    <w:p>
      <w:r>
        <w:t>A/2503/2025 - 4/4 -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