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ATAS/719/2023 vom 26. September 2023</w:t>
      </w:r>
    </w:p>
    <w:p>
      <w:r>
        <w:t>GE Cour de justice, 2023-09-26, FR</w:t>
      </w:r>
    </w:p>
    <w:p>
      <w:r>
        <w:rPr>
          <w:b/>
        </w:rPr>
        <w:t xml:space="preserve">Quelle: </w:t>
      </w:r>
      <w:r>
        <w:t>https://mcp.opencaselaw.ch/entscheid/ge_gerichte_ATAS_719_2023</w:t>
      </w:r>
    </w:p>
    <w:p>
      <w:r>
        <w:t>FR: GE_GERICHTE ATAS/719/2023 du 26 septembre 2023</w:t>
      </w:r>
    </w:p>
    <w:p>
      <w:r>
        <w:t>IT: GE_GERICHTE ATAS/719/2023 del 26 settembre 2023</w:t>
      </w:r>
    </w:p>
    <w:p>
      <w:pPr>
        <w:pStyle w:val="Heading2"/>
      </w:pPr>
      <w:r>
        <w:t>Erwägungen</w:t>
      </w:r>
    </w:p>
    <w:p>
      <w:r>
        <w:rPr>
          <w:b/>
        </w:rPr>
        <w:t>E. 1</w:t>
      </w:r>
    </w:p>
    <w:p>
      <w:r>
        <w:t>La procédure devant le Tribunal arbitral des assurances est régie par la maxime inquisitoire. Il appartient ainsi au Tribunal arbitral d'établir les faits déterminants pour la solution du litige et d'administrer les preuves nécessaires (art. 89 al. 5 de la loi fédérale sur l'assurance-maladie du 18 mars 1994 -LAMal - RS 832.10).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Le principe inquisitoire dispense les parties de l'obligation de prouver les faits allégués, mais ne les libère pas du fardeau de la preuve, dans la mesure où, en cas d'absence de preuve, c'est à la partie qui voulait en déduire un droit d'en supporter les conséquences, sauf si l'impossibilité de prouver un fait doit être imputée à la partie adverse. Toutefois, cette règle ne s'applique que s'il se révèle impossible d'établir un état de fait qui correspond, au degré de la vraisemblance prépondérante, à la réalité (ATF 139 V 176 consid. 5.2). L'art. 89 al. 5 LAMal prescrit également que les cantons fixent la procédure. Aux termes de l'art. 19 de la loi sur la procédure administrative du 12 septembre 1985 (LPA-GE - E 5 10), l'autorité établit les faits d'office et n'est liée ni par les allégués ni par les offres de preuve des parties. Les règles sur la répartition du fardeau de la preuve en procédure civile ne sont ainsi pas applicables et remplacées par le pouvoir d'instruction de l'autorité (Stéphane GRODECKI, Romain JORDAN, Code annoté de procédure administrative genevoise, 2017, note 326, p. 90). Partant, le tribunal de céans est tenu d'instruire la présente cause indépendamment de l'offre de preuve des parties.</w:t>
      </w:r>
    </w:p>
    <w:p>
      <w:r>
        <w:rPr>
          <w:b/>
        </w:rPr>
        <w:t>E. 2</w:t>
      </w:r>
    </w:p>
    <w:p>
      <w:r>
        <w:t>Les méthodes statistique et analytique ou une combinaison de ces deux méthodes sont admises par le Tribunal fédéral pour établir l'existence d'une polypragmasie (« Überarztung »).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 du Tribunal fédéral 9C_485/2022 du 20 juin 2023 consid. 3.2). A la différence de la méthode analytique qui a les défauts d'être coûteuse, difficile à réaliser à large échelle et mal adaptée lorsqu'il s'agit de déterminer l'ampleur de la polypragmasie et le montant à mettre à la charge du médecin concerné, la méthode statistique permet un examen anonyme, standardisé, large, rapide et continu de l'économicité. Les résultats fournis par la méthode statistique ne constituent toutefois pas une présomption irréfragable, dans la mesure où le</w:t>
      </w:r>
    </w:p>
    <w:p>
      <w:r>
        <w:t>A/2603/2019 - 18/24 - médecin concerné a toujours la possibilité de justifier une pratique plus onéreuse que celle de ses confrères appartenant à son groupe de comparaison (arrêt du Tribunal fédéral 9C_570/2015 du 6 juin 2016 consid. 3.2 ; ATF 136 V 415 consid. 6.2). Le Tribunal fédéral a admis depuis longtemps le principe du recours à la méthode statistique comme moyen de preuve permettant d'établir le caractère économique ou non des traitements prodigués par un médecin donné (cf. ATF 136 V 415 consid. 6.2), les statistiques établies par SANTÉSUISSE ayant à cet égard valeur probante. En ce qui concerne le modèle d'analyse de variance (méthode ANOVA) pour le contrôle du caractère économique des prestations de médecine en relation avec la restitution des honoraires en raison d'une pratique ambulatoire non économique, il a reconnu que cette méthode n'avait pas à être remise en cause ni en relation avec la base de données statistiques RSS (Rechnungssteller-Statistik) ni en tant que modèle mathématique (ATF 144 V 79 consid. 5.3.2 ; arrêt 9C_150/2020 du 12 juin 2020 consid. 3.3.1). Le Tribunal fédéral s'y est tenu par la suite, malgré les critiques formulées parfois dans la doctrine à l'encontre de cette méthode statistique (arrêt du Tribunal fédéral 9C_517/2017 du 8 novembre 2018 consid. 5.2). La Fédération des médecins suisses (FMH), SANTÉSUISSE et CURAFUTURA ont, en collaboration avec C______ SA, remplacé la méthode ANOVA avec une nouvelle méthode statistique de sélection (screening), en une analyse de régression en deux étapes. L’analyse de régression inclut ainsi non plus seulement les critères de morbidité, de l’âge et du sexe, mais également les critères « franchise à option », « séjour dans un hôpital ou dans un établissement médico- social l’année précédente », ainsi que les « PCG ». Ces critères représentent le profil clinique des patients. Dans ce cadre, ce n'est pas l'effet d'un critère individuel sur les coûts de traitement d'un médecin qui est déterminant, mais l'addition de leurs influences indépendantes les unes des autres. L’analyse de régression constitue ainsi le développement de la méthode ANOVA dans le sens d’un affinement (« Verfeinerung ») de celle-ci. Les parties contractantes se sont toutefois engagées à adopter et appliquer cette nouvelle méthode, en remplacement de la méthode ANOVA, la première fois pour l'année statistique 2017 (arrêts du Tribunal fédéral 9C_558/2018 du 12 avril 2019 consid. 7.1 et 9C_517/2017 précité consid. 5.2).</w:t>
      </w:r>
    </w:p>
    <w:p>
      <w:r>
        <w:rPr>
          <w:b/>
        </w:rPr>
        <w:t>E. 3</w:t>
      </w:r>
    </w:p>
    <w:p>
      <w:r>
        <w:t>Le tribunal de céans a un doute concernant l'applicabilité des statistiques pour établir une polypragmasie de la défenderesse en l’espèce. En effet, le groupe de comparaison sur lequel SANTÉSUISSE s’est fondé à cet égard est constitué de médecins spécialisés dans le seul domaine de l’ « endocrinologie-diabétologie », alors que la défenderesse peut se prévaloir, également, d’une spécialisation FMH en médecine interne/générale. On ne peut ainsi exclure que sa patientèle soit, du moins en partie, différente de celle des autres médecins de son groupe de comparaison. A cela s’ajoute que, durant la période litigieuse (2017 et 2018),</w:t>
      </w:r>
    </w:p>
    <w:p>
      <w:r>
        <w:t>A/2603/2019 - 19/24 - l’intéressée n’a apparemment facturé aucune position TARMED en lien avec l’endocrinologie et la diabétologie (singulièrement la position 001.00.1550). Les nouveaux « indices mixtes RSS », « fabriqués pour la circonstance » par les demanderesses (cf. ci-dessus § 14), ne paraissent pas davantage constituer en l'occurrence des instruments adéquats pour établir si le principe d'économicité a été violé. En effet, on ignore en particulier comment les deux spécialisations FMH de la défenderesse sont réparties dans le cadre de son activité. D’un autre côté, la défenderesse a expliqué, s’agissant en particulier de sa facturation relative à la patiente A, diabétique, qu’elle était intervenue comme diabétologue, mais n’avait pas facturé son traitement selon la position TARMED correspondant à cette spécialité, car elle n’était pas « grand maître de tous les libellés du TARMED ». En l’état, le dossier ne permet pas non plus d’établir qu’un exercice « indissociable » (pour reprendre la formulation de la défenderesse) de ses deux spécialités FMH pourrait justifier la facturation litigieuse. Partant, une expertise analytique s'avère nécessaire pour établir l’existence, ou non, d’une pratique non-économique en l’occurrence. La défenderesse ne saurait dès lors être suivie, lorsqu’elle vient soutenir, désormais, qu’une expertise analytique n’apporterait aucun élément déterminant à la procédure, motif pris que SANTÉSUISSE aurait totalement échoué à démontrer la non-économicité de sa pratique. Au demeurant, tout au long de la procédure, la défenderesse a elle-même requis du tribunal de céans, par le truchement d'un avocat et à réitérées reprises, qu’il mette en œuvre une telle mesure d’instruction. La défenderesse, faisant suite à l’invitation du tribunal de céans de désigner un expert, a finalement proposé que le Dr H______ procède à l’expertise analytique envisagée, après avoir requis une prolongation du délai en vue de désigner un expert commun.</w:t>
      </w:r>
    </w:p>
    <w:p>
      <w:r>
        <w:rPr>
          <w:b/>
        </w:rPr>
        <w:t>E. 4</w:t>
      </w:r>
    </w:p>
    <w:p>
      <w:r>
        <w:t>La défenderesse s'oppose à la désignation du Dr G______ en tant qu'expert judiciaire.</w:t>
      </w:r>
    </w:p>
    <w:p>
      <w:r>
        <w:rPr>
          <w:b/>
        </w:rPr>
        <w:t>E. 4.1</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w:t>
      </w:r>
    </w:p>
    <w:p>
      <w:r>
        <w:t>A/2603/2019 - 20/24 - c) s’ils représentent une partie ou ont agi pour une partie dans la même affaire ;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rPr>
          <w:b/>
        </w:rPr>
        <w:t>E. 4.2</w:t>
      </w:r>
    </w:p>
    <w:p>
      <w:r>
        <w:t>En l'espèce, les motifs de récusation soulevés en lien avec les compétences professionnelles de l'expert désigné ne visent pas un des motifs énumérés à l’art. 15 al. 1 let. a à c LPA. Au demeurant, il n’apparaît pas que l’expert initialement proposé par la défenderesse, le Dr H______ dispose lui-même d’une formation de statisticien, de mathématicien ou de la double formation de la défenderesse. Quant à l’affirmation selon laquelle le Dr G______ ne présente pas les garanties de neutralité requises, elle n’est nullement étayée et relève, dès lors, du procès d’intention.</w:t>
      </w:r>
    </w:p>
    <w:p>
      <w:r>
        <w:rPr>
          <w:b/>
        </w:rPr>
        <w:t>E. 4.3</w:t>
      </w:r>
    </w:p>
    <w:p>
      <w:r>
        <w:t>L'expertise sera confiée au Dr G______.</w:t>
      </w:r>
    </w:p>
    <w:p>
      <w:r>
        <w:rPr>
          <w:b/>
        </w:rPr>
        <w:t>E. 5</w:t>
      </w:r>
    </w:p>
    <w:p>
      <w:r>
        <w:t>Il n’y a pas lieu de donner suite aux exigences de la défenderesse, relatives aux modalités de l’expertise analytique. D’une part, le droit cantonal de procédure n’accorde aucune prérogative quant au choix de l’expert, sinon de pouvoir en proposer la récusation (arrêt du Tribunal fédéral 9C_309/2010 du 11 août 2010 consid. 4.2). D’autre part, lorsque le tribunal décide d'appliquer la méthode analytique, il ordonne en principe la sélection d'un nombre représentatif de dossiers du médecin concerné. Quelques dizaines de dossiers de patients sont sélectionnés au hasard. Le médecin est tenu de coopérer en communiquant tous les documents faisant partie des dossiers sélectionnés ; il fournira notamment les informations relatives au diagnostic, au but du traitement, aux soins administrés ; de même, il peut devoir livrer la correspondance échangée avec ses patients. Le médecin ne peut pas faire valoir son secret professionnel pour refuser de fournir les pièces requises, quand bien même celles-ci portent sur des données sensibles de patients identifiés. L'expert examine en détail le contenu des dossiers afin de déterminer si chaque décision du médecin était correcte dans le cas particulier. Il se demande par exemple s'il était justifié de faire une radio des poumons de ce patient, s'il était raisonnable de prescrire tel médicament à ce patient, s'il fallait répéter tel ou tel</w:t>
      </w:r>
    </w:p>
    <w:p>
      <w:r>
        <w:t>A/2603/2019 - 21/24 - examen pour ce patient. Le médecin mis en cause doit généralement soutenir activement le travail de l'expert. Il a ainsi l'opportunité de discuter les cas considérés a priori douteux par l'expert et d'apporter ses justifications (Valérie JUNOD, « Polypragmasie : analyse d’une procédure controversée », In : Cahiers genevois et romands de sécurité sociale, 2008, n° 40, p. 129–174, § 2.3.1).</w:t>
      </w:r>
    </w:p>
    <w:p>
      <w:r>
        <w:rPr>
          <w:b/>
        </w:rPr>
        <w:t>E. 6</w:t>
      </w:r>
    </w:p>
    <w:p>
      <w:r>
        <w:t>En l’état, il n’apparaît pas nécessaire d’accorder à la défenderesse un délai supplémentaire pour lui permettre de constituer un nouvel avocat pour se déterminer, comme semble le requérir son ancien conseil, sur le contenu de la présente mission d’expertise.</w:t>
      </w:r>
    </w:p>
    <w:p>
      <w:r>
        <w:t>A/2603/2019 - 22/24 -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