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ATAS/719/2022 vom 19. August 2022</w:t>
      </w:r>
    </w:p>
    <w:p>
      <w:r>
        <w:t>GE Cour de justice, 2022-08-19, FR</w:t>
      </w:r>
    </w:p>
    <w:p>
      <w:r>
        <w:rPr>
          <w:b/>
        </w:rPr>
        <w:t xml:space="preserve">Quelle: </w:t>
      </w:r>
      <w:r>
        <w:t>https://mcp.opencaselaw.ch/entscheid/ge_gerichte_ATAS_719_2022</w:t>
      </w:r>
    </w:p>
    <w:p>
      <w:r>
        <w:t>FR: GE_GERICHTE ATAS/719/2022 du 19 août 2022</w:t>
      </w:r>
    </w:p>
    <w:p>
      <w:r>
        <w:t>IT: GE_GERICHTE ATAS/719/2022 del 19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w:t>
      </w:r>
    </w:p>
    <w:p>
      <w:r>
        <w:t>A/3590/2021 - 6/12 -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de refus d’octroyer à l’assurée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 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w:t>
      </w:r>
    </w:p>
    <w:p>
      <w:r>
        <w:t>A/3590/2021 - 7/12 -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7.2</w:t>
      </w:r>
    </w:p>
    <w:p>
      <w:r>
        <w:t>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A/3590/2021 - 8/12 -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8.4</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w:t>
      </w:r>
    </w:p>
    <w:p>
      <w:r>
        <w:rPr>
          <w:b/>
        </w:rPr>
        <w:t>E. 8.5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w:t>
      </w:r>
    </w:p>
    <w:p>
      <w:r>
        <w:t>A/3590/2021 - 9/12 -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A/3590/2021 - 10/12 -</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w:t>
      </w:r>
    </w:p>
    <w:p>
      <w:r>
        <w:rPr>
          <w:b/>
        </w:rPr>
        <w:t>E. 11.1</w:t>
      </w:r>
    </w:p>
    <w:p>
      <w:r>
        <w:t>En l’espèce, les troubles de nature somatique sont documentés par les pièces au dossier, notamment par les rapports du Dr E______, dont celui du 10 décembre 2020 qui confirme que l’assurée n’est plus suivie depuis le mois de juillet 2020 et que six semaines après l’opération, il subsistait une légère raideur dans le coude droit. S’agissant des troubles de nature psychique, le Dr F______ a confirmé l’existence d’un trouble de l’adaptation et d’une réaction dépressive prolongée suite à l’annonce du licenciement de l’assurée. Dans son courrier du 3 novembre 2021, le psychiatre traitant a toutefois observé une évolution favorable et l’absence de diagnostic incapacitant ce qui entraînait, selon lui, une capacité de travail pleine sur le plan psychiatrique. L’assurée n’a pas produit d’autres pièces médicales pouvant contredire les appréciations de ses médecins traitants.</w:t>
      </w:r>
    </w:p>
    <w:p>
      <w:r>
        <w:rPr>
          <w:b/>
        </w:rPr>
        <w:t>E. 11.2</w:t>
      </w:r>
    </w:p>
    <w:p>
      <w:r>
        <w:t>De son côté, le SMR, après avoir apprécié les rapports médicaux des médecins traitants, a considéré, dans son rapport du 8 juin 2021, que la capacité de travail de l’assurée était définitivement nulle, dans l’ancienne activité, depuis le 27 janvier 2021, mais que dans une activité plus adaptée aux limitations fonctionnelles d’épargne du coude droit, la capacité de travail était pleine depuis, au moins, le mois de juillet 2020. Au vu des documents produits par les parties, qui ne présentent aucune contradiction, la chambre de céans considère que le rapport du SMR a une valeur probante et qu’il ne subsiste aucun doute, même faible, quant à la fiabilité et la pertinence de son appréciation. Il convient également de noter que la recourante ne conteste pas sa capacité de travail dans une activité adaptée puisqu’elle déclare, dans son recours, vouloir travailler dans un environnement calme et qui ne nécessite pas une grande capacité physique, donnant pour exemple le fait d’accompagner des personnes âgées en situation de handicap comme elle le faisait auparavant. Or, une telle</w:t>
      </w:r>
    </w:p>
    <w:p>
      <w:r>
        <w:t>A/3590/2021 - 11/12 - déclaration est parfaitement compatible avec l’exercice d’une activité lucrative adaptée à ses limitations fonctionnelles.</w:t>
      </w:r>
    </w:p>
    <w:p>
      <w:r>
        <w:rPr>
          <w:b/>
        </w:rPr>
        <w:t>E. 11.3</w:t>
      </w:r>
    </w:p>
    <w:p>
      <w:r>
        <w:t>S’agissant de la comparaison des revenus effectuée par l’intimé, elle n’est pas remise en question par la recourante et ne prête pas le flanc à la critique. La décision rendue par l’OAI en date du 28 septembre 2021 sera donc confirmée.</w:t>
      </w:r>
    </w:p>
    <w:p>
      <w:r>
        <w:rPr>
          <w:b/>
        </w:rPr>
        <w:t>E. 12</w:t>
      </w:r>
    </w:p>
    <w:p>
      <w:r>
        <w:t>Au vu de ce qui précède, le recours sera rejeté et la recourante sera condamnée au paiement d'un émolument de CHF 200.- (art. 69 al. 1bis LAI).</w:t>
      </w:r>
    </w:p>
    <w:p>
      <w:r>
        <w:t>A/3590/2021 - 12/12 -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