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ATAS/719/2021 vom 30. Juni 2021</w:t>
      </w:r>
    </w:p>
    <w:p>
      <w:r>
        <w:t>GE Cour de justice, 2021-06-30, FR</w:t>
      </w:r>
    </w:p>
    <w:p>
      <w:r>
        <w:rPr>
          <w:b/>
        </w:rPr>
        <w:t xml:space="preserve">Quelle: </w:t>
      </w:r>
      <w:r>
        <w:t>https://mcp.opencaselaw.ch/entscheid/ge_gerichte_ATAS_719_2021</w:t>
      </w:r>
    </w:p>
    <w:p>
      <w:r>
        <w:t>FR: GE_GERICHTE ATAS/719/2021 du 30 juin 2021</w:t>
      </w:r>
    </w:p>
    <w:p>
      <w:r>
        <w:t>IT: GE_GERICHTE ATAS/719/2021 del 30 giugno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de trente jours prévus par la loi, l'acte de recours est recevable (art. 38 al. 4 let. b et 56 ss LPGA et 62 ss de la loi sur la procédure administrative du 12 septembre 1985 [LPA - E 5 10]).</w:t>
      </w:r>
    </w:p>
    <w:p>
      <w:r>
        <w:rPr>
          <w:b/>
        </w:rPr>
        <w:t>E. 3</w:t>
      </w:r>
    </w:p>
    <w:p>
      <w:r>
        <w:t>Le litige porte sur le bien-fondé de la sanction de trois jours de suspension de l’indemnité de chômage.</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w:t>
      </w:r>
    </w:p>
    <w:p>
      <w:r>
        <w:t>A/325/2021 - 5/8 - (art. 110 LACI), notamment par le biais du Bulletin relatif à l'indemnité de chômage (Bulletin LACI IC). b.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Il est tenu d'accepter tout travail convenable qui lui est proposé (al. 3 1ère phr.). Par ailleurs, les entretiens de conseil et de contrôle sont menés par l'ORP en charge du dossier de l'assuré (Bulletin LACI IC ch. B330). En vertu de l’art. 22 al. 2 OACI, l’office compétent mène un entretien de conseil et de contrôle avec chaque assuré à intervalles pertinents mais au moins tous les deux mois. Lors de cet entretien, il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 c. La violation des obligations imposées par l'art. 17 LACI, expose l’assuré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A/325/2021 - 6/8 - Conformément à l’art. 30 al. 2 LACI, l’autorité cantonale prononce les suspensions notamment au sens de l’al. 1 let. c et d. d. 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e. Conformément à l’art. 15 al. 1 LACI, est réputé apte à être placé (au sens de l’art. 8 al. 1 let. f LACI) le chômeur qui est disposé à accepter un travail convenable et à participer à des mesures d’intégration et qui est en mesure et en droit de le faire.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 ATAS/1221/2020 du 15 décembre 2020 consid. 4).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LACI, même si ses efforts pour mettre fin au chômage échouent (arrêt du Tribunal fédéral 8C_64/2020 du 19 novembre 2020 consid. 5.2.2 ; Boris RUBIN, Commentaire, n. 17 ad art. 15 LACI). Notamment dans les cas visés par l’art. 30 al. 1 let. c et d LACI, l'assuré adopte un comportement qui, de manière générale, est de nature à prolonger la durée de son chômage. Il n'est en principe pas d'emblée privé de prestations, mais tout d'abord sanctionné en application de l'art. 30 al. 1 let. c ou d LACI – par une ou des suspensions –, puis, en cas de violations répétées, déclaré inapte au placement, en vertu des art. 8 al. 1 let. f et 15 LACI (ATF 120 V 233 consid. 5c ; ATF 112 V consid. 1b ; ATAS/169/2020 du 2 mars 2020 consid. 4b ; THOMAS NUSSBAUMER, Arbeitslosenversicherung, in Schweizerisches</w:t>
      </w:r>
    </w:p>
    <w:p>
      <w:r>
        <w:t>A/325/2021 - 7/8 - Bundesverwaltungsrecht [SBVR], vol. XIV, Soziale Sicherheit, 3ème éd. 2016, n. 323 p. 2363).</w:t>
      </w:r>
    </w:p>
    <w:p>
      <w:r>
        <w:rPr>
          <w:b/>
        </w:rPr>
        <w:t>E. 5</w:t>
      </w:r>
    </w:p>
    <w:p>
      <w:r>
        <w:t>En l’espèce, le recourant ne nie pas avoir fait un nombre de recherches insuffisantes pendant le mois de mars 2020, mais explique qu’il avait décidé de profiter des premiers jours du cours, débutant le 9 mars 2020, pour refaire, avec l’assistance des animateurs, son CV et sa lettre de motivation, de manière à les rendre plus attractifs. Ce faisant – et en dépit du confinement décrété à compter du 16 mars 2020 – le recourant acceptait le principe de regrouper quasi toutes ses recherches d’emploi sur la seconde moitié du mois de mars 2020 et de n’en faire qu’une pendant la première moitié du mois de mars 2020. Or, ne consacrer que la moitié d’un mois à la recherche d’un emploi ne suffit pas à satisfaire à l’exigence de répartir les recherches sur l’ensemble du mois et ceci indépendamment de la mesure de confinement, entrée en vigueur à partir du 16 mars 2020. Étant encore précisé que l’assuré était déjà en possession d’un CV et d’une lettre de motivation qui avaient été demandés par son conseiller en personnel et fournies en date du 3 février 2020. Dès lors, il était du devoir de l’assuré de commencer ses recherches d’emploi pendant la première quinzaine du mois de mars 2020, même s’il souhaitait profiter du cours pour améliorer la présentation de son CV et l’attractivité de sa lettre de motivation. Le principe de la faute est ainsi acquis, reste à examiner si la quotité de la sanction respecte le principe de proportionnalité. Le Bulletin LACI IC édité par le SECO (ci-après : barème SECO) à son ch. D79 1.C. stipule qu’en cas de recherches insuffisantes d’emploi, la faute est considérée comme légère et est sanctionnée, la première fois, par une sanction de trois à quatre jours de suspension. Correspondant au minimum de la sanction, la décision de suspension de l’indemnité pendant trois jours est proportionnée.</w:t>
      </w:r>
    </w:p>
    <w:p>
      <w:r>
        <w:rPr>
          <w:b/>
        </w:rPr>
        <w:t>E. 6</w:t>
      </w:r>
    </w:p>
    <w:p>
      <w:r>
        <w:t>Compte tenu de ce qui précède, le recours doit être rejeté.</w:t>
      </w:r>
    </w:p>
    <w:p>
      <w:r>
        <w:rPr>
          <w:b/>
        </w:rPr>
        <w:t>E. 7</w:t>
      </w:r>
    </w:p>
    <w:p>
      <w:r>
        <w:t>Par ailleurs, la procédure est gratuite (art. 61 let. a LPGA, applicable ratione temporis vu l’art. 83 LPGA).</w:t>
      </w:r>
    </w:p>
    <w:p>
      <w:r>
        <w:t>A/325/2021 - 8/8 -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