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ATAS/719/2020 vom 31. August 2020</w:t>
      </w:r>
    </w:p>
    <w:p>
      <w:r>
        <w:t>GE Cour de justice, 2020-08-31, FR</w:t>
      </w:r>
    </w:p>
    <w:p>
      <w:r>
        <w:rPr>
          <w:b/>
        </w:rPr>
        <w:t xml:space="preserve">Quelle: </w:t>
      </w:r>
      <w:r>
        <w:t>https://mcp.opencaselaw.ch/entscheid/ge_gerichte_ATAS_719_2020</w:t>
      </w:r>
    </w:p>
    <w:p>
      <w:r>
        <w:t>FR: GE_GERICHTE ATAS/719/2020 du 31 août 2020</w:t>
      </w:r>
    </w:p>
    <w:p>
      <w:r>
        <w:t>IT: GE_GERICHTE ATAS/719/2020 del 31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A/2822/2019 - 4/9 - Sa compétence pour juger du cas d’espèce est ainsi établie.</w:t>
      </w:r>
    </w:p>
    <w:p>
      <w:r>
        <w:rPr>
          <w:b/>
        </w:rPr>
        <w:t>E. 2</w:t>
      </w:r>
    </w:p>
    <w:p>
      <w:r>
        <w:t>Interjeté en temps utile, le recours est recevable (art. 56 ss LPGA).</w:t>
      </w:r>
    </w:p>
    <w:p>
      <w:r>
        <w:rPr>
          <w:b/>
        </w:rPr>
        <w:t>E. 3</w:t>
      </w:r>
    </w:p>
    <w:p>
      <w:r>
        <w:t>Le litige consiste à examiner si la recourante a droit à des mesures médicales, singulièrement si elle souffre d’une infirmité congénitale. a. Aux termes de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Les mesures médicales accordées conformément à l’art. 13 LAI doivent tendre, en principe, à soigner l’infirmité congénitale elle-même. La liste des infirmités congénitales annexée à l’ordonnance du 9 décembre 1985 concernant les infirmités congénitales (OIC ; RS 831.232.21)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 congénitales au sens de la LAI ; arrêt du Tribunal fédéral I 544/97 du 14 janvier 1999 consid. 2b et les références, in VSI 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p. 30 ; voir également arrêts du Tribunal fédéral 9C_817/2009 du 14 avril 2010 consid. 3.2 ; I 64/01 du 20 février 2002 consid. 4a). Par ailleurs, dans la mesure où le Département fédéral de l’intérieur peut corriger la liste à bref délai en y ajoutant des infirmités congénitales évidentes (art. 1 al. 2 2ème phr. OIC), le système mis en place permet de tenir raisonnablement compte des progrès de la science médicale (arrêt du Tribunal fédéral des assurances I 64/01 du 20 février 2002 consid. 4a/bb). La liste des infirmités congénitales annexées à l’OIC inclut à son chiffre 274 le cas de l’atrésie et de la sténose congénitales de l’estomac, de l’intestin, du rectum ou de l’anus. b. Le droit prend naissance au début de l’application des mesures médicales, mais au plus tôt à la naissance accomplie de l’enfant (art. 2 al. 1 OIC). Sont réputés mesures médicales nécessaires au traitement d’une infirmité congénitale tous les actes dont la science médicale a reconnu qu’ils sont indiqués et qu’ils tendent au but thérapeutique visé d’une manière simple et adéquate (art. 2 al. 3 OIC). Le droit au traitement d’une infirmité congénitale s’éteint à la fin du mois au cours duquel</w:t>
      </w:r>
    </w:p>
    <w:p>
      <w:r>
        <w:t>A/2822/2019 - 5/9 - l’assuré a accompli sa 20ème année, même si une mesure entreprise avant ce délai est poursuivie (art. 3 OIC). Selon la circulaire sur les mesures médicales, publiée par l’office fédéral des assurances sociales (ci-après : CMRM, valable depuis le 1er janvier 2015),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Sont réputées mesures médicales nécessaires au traitement d’une infirmité congénitale tous les actes dont la science médicale reconnaît qu’ils sont indiqués et qu’ils tendent au but thérapeutique visé d’une manière simple et adéquate (art. 2 al. 3 OIC). Les prestations octroyées doivent être économiques.</w:t>
      </w:r>
    </w:p>
    <w:p>
      <w:r>
        <w:rPr>
          <w:b/>
        </w:rPr>
        <w:t>E. 4</w:t>
      </w:r>
    </w:p>
    <w:p>
      <w:r>
        <w:t>mai 2012 consid. 3.2.1).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6</w:t>
      </w:r>
    </w:p>
    <w:p>
      <w:r>
        <w:t>a. Lorsque des mesures médicales ne peuvent être octroyées à un assuré mineur sous l’angle de l’art. 13 LAI, il y a lieu d’examiner si elles peuvent l’être sur la base de l’art. 12 LAI (cf. arrêt du Tribunal fédéral des assurances I 309/05 du 1er décembre 2005 consid. 2.3.1). Conformément à cette disposition,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(al. 1).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w:t>
      </w:r>
    </w:p>
    <w:p>
      <w:r>
        <w:t>A/2822/2019 - 7/9 -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b. Les assurés mineurs qui n’exercent pas d’activité lucrative doivent être considérés comme invalides lorsque l’atteinte à leur santé aura pour conséquence probable, à l’avenir, une incapacité de gain (art. 5 al. 2 LAI). Dès lors, selon la jurisprudence, des mesures médicales appliquées à de jeunes gens peuvent tendre de manière prédominante à la réadaptation professionnelle – et être prises en charge par l’assurance-invalidité malgré le caractère encore momentanément faible de l’affection – lorsque, à défaut de ces mesures, il n’y aurait qu’une guérison imparfaite, ou qu’il subsisterait un état stabilisé défectueux qui entraverait la formation professionnelle ou la capacité de gain, voire toutes les deux (ATF 105 V 20).</w:t>
      </w:r>
    </w:p>
    <w:p>
      <w:r>
        <w:rPr>
          <w:b/>
        </w:rPr>
        <w:t>E. 7</w:t>
      </w:r>
    </w:p>
    <w:p>
      <w:r>
        <w:t>En l’occurrence, la recourante présente depuis sa naissance une malformation anorectale de type anus antéposé qui ne nécessite pas de correction chirurgicale, avec une distance entre la fourchette et l’anus d’un centimètre, un petit perineal groove d’environ trois millimètres et un joli sphincter autour de l’anus. Le cas d’espèce est similaire à celui jugé par la chambre de céans le 17 mars 2020 (ATAS/249/2020), où il s’agissait d’une recourante, née en 2018, qui présentait un anus antéposé avec un perineal groove à une distance d’à peu près sept à huit millimètres de l’extrémité postérieure de la fourchette vulvaire et un sphincter qui entourait l’anus à 75 %. Dans cet arrêt, la chambre de céans a considéré que selon la nomenclature médicale (GANIER / DELAMARE, Dictionnaire des termes de médecine, 26ème éd., Paris 2000), une atrésie se définit comme une occlusion complète ou incomplète, congénitale ou acquise d’un orifice ou d’un conduit naturels (cf. Larousse médical, 1995), alors qu’une sténose correspond à la diminution permanente du calibre d’un orifice ou d’un conduit du corps, avec altération de la paroi (GANIER / DELAMARE, Dictionnaire des termes de médecine, 26ème éd., Paris 2000 ; cf. aussi Larousse médical, 1995). La malformation portant sur une distance - jugée trop courte - entre l’anus et l’extrémité postérieure de la fourchette vulvaire ne correspondait pas à une occlusion, complète ou incomplète, ni même à une diminution d’un orifice ou d’un conduit du corps, au sens des définitions précitées. Cette malformation anorectale n’était ni une atrésie, ni une sténose ; or, seules celles-ci entraient dans le cadre des infirmités congénitales pour lesquelles les prestations de l’art. 13 LAI devaient être accordées. Par ailleurs, la recourante ne prétendait pas que sa capacité de gain serait affectée par cette malformation, de</w:t>
      </w:r>
    </w:p>
    <w:p>
      <w:r>
        <w:t>A/2822/2019 - 8/9 - sorte que les conditions d’une prise en charge selon l’art. 12 LAI n’étaient pas non plus remplies.</w:t>
      </w:r>
    </w:p>
    <w:p>
      <w:r>
        <w:rPr>
          <w:b/>
        </w:rPr>
        <w:t>E. 8</w:t>
      </w:r>
    </w:p>
    <w:p>
      <w:r>
        <w:t>Ces considérations peuvent être appliquées au cas d’espèce, de sorte que le recours ne peut qu’être rejeté. Au vu du sort du recours, il y a lieu de condamner la recourante au paiement d'un émolument de CHF 200.- (art. 69 al. 1 bis LAI).</w:t>
      </w:r>
    </w:p>
    <w:p>
      <w:r>
        <w:t>A/2822/2019 - 9/9 -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