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ATAS/719/2013 vom 9. Juli 2013</w:t>
      </w:r>
    </w:p>
    <w:p>
      <w:r>
        <w:t>GE Cour de justice, 2013-07-09, FR</w:t>
      </w:r>
    </w:p>
    <w:p>
      <w:r>
        <w:rPr>
          <w:b/>
        </w:rPr>
        <w:t xml:space="preserve">Quelle: </w:t>
      </w:r>
      <w:r>
        <w:t>https://mcp.opencaselaw.ch/entscheid/ge_gerichte_ATAS_719_2013</w:t>
      </w:r>
    </w:p>
    <w:p>
      <w:r>
        <w:t>FR: GE_GERICHTE ATAS/719/2013 du 9 juillet 2013</w:t>
      </w:r>
    </w:p>
    <w:p>
      <w:r>
        <w:t>IT: GE_GERICHTE ATAS/719/2013 del 9 luglio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 en vigueur le 1er janvier 2003 et s'applique à la décision de restitution litigieuse.</w:t>
      </w:r>
    </w:p>
    <w:p>
      <w:r>
        <w:rPr>
          <w:b/>
        </w:rPr>
        <w:t>E. 3</w:t>
      </w:r>
    </w:p>
    <w:p>
      <w:r>
        <w:t>a)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 L'art. 89 b de la loi cantonale du 12 septembre 1985 sur la procédure administrative (LPA ; E 5 10) pose les mêmes exigences. b) En l'espèce, la Cour a renoncé à fixer un second délai à l'assuré pour motiver son recours sous peine d'irrecevabilité et à impartir un délai au SPC pour se déterminer. En effet, la question de la recevabilité du recours pourra rester ouverte eu égard au fait que le recours est mal fondé.</w:t>
      </w:r>
    </w:p>
    <w:p>
      <w:r>
        <w:rPr>
          <w:b/>
        </w:rPr>
        <w:t>E. 4</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1ère phrase LPGA suppose que soient remplies les conditions d’une reconsidération ou d’une révision procédurale de la décision – formelle ou non – par laquelle les prestations en cause ont été</w:t>
      </w:r>
    </w:p>
    <w:p>
      <w:r>
        <w:t>A/1367/2013 - 7/11 -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b) Au niveau fédéral, selon l’art 4 LPC, les personnes qui ont leur domicile et leur résidence habituelle en Suisse peuvent bénéficier de prestations complémentaires si les dépenses reconnues sont supérieures au revenus déterminants. Le montant de la prestation complémentaire annuelle correspond alors à la part des dépenses reconnues qui excède les revenus déterminants (art. 9 al. 1 LPC). Selon l’art. 11 al. 1 LPC, les revenus déterminants comprennent notamment le produit de la fortune mobilière et immobilière (let. a), un dixième de la fortune nette pour les bénéficiaires de rentes de vieillesse, dans la mesure où elle dépasse 25'000 fr. pour une personne seule, 37'500 fr. dès le 1er janvier 2011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w:t>
      </w:r>
    </w:p>
    <w:p>
      <w:r>
        <w:t>A/1367/2013 - 8/11 - prestations complémentaires à l'assurance-vieillesse et survivants et à l’assurance- invalidité, in: RSAS 2002 p. 419 ss.). c)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ATF 123 V 35;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Constitue notamment un mode de dessaisissement par excellence la donation entre vifs ou l’avancement d’hoirie (SPIRA, op. cit. p. 212).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(ATF non publié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(ATF non publié 9C_507/2011 du 1er décembre 2011, consid. 5.2).</w:t>
      </w:r>
    </w:p>
    <w:p>
      <w:r>
        <w:rPr>
          <w:b/>
        </w:rPr>
        <w:t>E. 5</w:t>
      </w:r>
    </w:p>
    <w:p>
      <w:r>
        <w:t>a) La garantie offerte par l’art. 29 al. 2 de la Constitution fédérale n’implique pas un droit à être entendu oralement (ATF 130 II 429 consid. 2.1), mais bien celui de prendre position par écrit (ATF non publié du 13 novembre 2002, 4P.195/2002 ; ATF 125 I 219 consid. 9b). Le droit d’être entendu oralement ne peut être accordé que par une disposition légale expresse (cf. Pra 2003 n. 97 consid. 2.6), ce que l’art. 42 LPGA ne prévoit pas (ATFA non publié du 20 septembre 2005, C 128/04 consid. 1.2). b) Le juge des assurances sociales fonde sa décision, sauf dispositions contraires de la loi, sur les faits qui, faute d’être établis de manière irréfutable, apparaissent</w:t>
      </w:r>
    </w:p>
    <w:p>
      <w:r>
        <w:t>A/1367/2013 - 9/11 -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w:t>
      </w:r>
    </w:p>
    <w:p>
      <w:r>
        <w:rPr>
          <w:b/>
        </w:rPr>
        <w:t>E. 6</w:t>
      </w:r>
    </w:p>
    <w:p>
      <w:r>
        <w:t>En l'espèce, les conditions d'une révision sont manifestement données puisque l'assuré n'a pas déclaré au SPC le montant de son épargne de 135'000 fr. que le SPC a découvert en consultant son avis de taxation fiscale. S'agissant de la diminution de cette fortune, l'assuré prétend avoir perdu la quasi-totalité de ses économies, investies dans la société Y__________ Sàrl. En premier lieu, si tel est bien le cas et compte tenu de la participation de l'assuré à cette société, il faut alors considérer en application de la jurisprudence que le fait d'avoir investi la totalité de ses avoirs, y compris son capital LPP, dans une nouvelle société sans aucune garantie quant à la marche des affaires, quant à la clientèle, au marché et au potentiel de développement, constitue un dessaisissement, car une personne raisonnable, de surcroît si elle vit de rentes, ne dilapide pas ainsi ses deniers dans un "placement" risqué. S'il s'est par contre agi de donner cette somme à son fils afin que ce dernier crée sa propre société, il s'agit alors d'une donation, qui est sans aucun doute possible un dessaisissement. En second lieu toutefois, compte tenu de ce qui suit et du caractère peu probant de la comptabilité produite, il n'est pas totalement démontré que ce capital a effectivement été investi et perdu, de sorte que dans cette hypothèse, il doit être pris en compte en tant que fortune, ce qui ne change rien à l'issue du litige, l'assuré n'ayant plus droit à aucune prestation dès le 1er janvier 2010 et plus droit à la couverture de sa prime d'assurance-maladie dès le 1er septembre 2010.</w:t>
      </w:r>
    </w:p>
    <w:p>
      <w:r>
        <w:t>A/1367/2013 - 10/11 - En effet, l'ensemble de l'opération est pour le moins étonnante, de la part d'un homme qui travaille depuis de nombreuses années (2006 en tout cas) en tant que courtier immobilier et qui a donc l'expérience des affaires. Il y d'abord lieu de relever que l'assuré semble avoir une position importante, si ce n'est dirigeante au sein de X__________ Sàrl depuis quelques années déjà, preuve en étant qu'il utilise le papier à entête de la société pour adresser des courriers au SPC, fait engager son fils comme apprenti et signe son propre certificat de salaire. On ne discerne alors pas pourquoi les locaux X__________ n'ont pas été mis à disposition de Y__________, afin de limiter les charges de loyer, les animateurs des deux sociétés étant les mêmes. De plus, la totalité de l'investissement de 114'000 fr. aurait servi, au centime près, à l'achat d'aménagements et d'agencements (44'000 fr.) – inutiles en cas de partage des locaux et surfaits pour une centrale téléphonique - et d'un concept de Call center (70'000 fr.) commandé à une société domiciliée aux Philippines, qui émet une facture non signée, ni munie d'un quelconque timbre. Ainsi, si ce capital a été donné au fils de l'assuré pour qu'il puisse créer son entreprise ou investi dans une société vouée à la faillite, il s'agit d'un dessaisissement sans contreprestation équivalente, et si ce capital a été placé ailleurs et conservé, il doit être pris en compte comme tel, de sorte que la décision est dans tous les cas bien fondée. A cet égard, l'assuré, qui dispose manifestement de la capacité de s'expliquer par écrit et de réunir les pièces déterminantes lorsqu'un ultime délai lui est fixé par le SPC, se contente de contester la décision sur opposition en termes généraux, sans indiquer malgré un délai de 4 semaines, en quoi elle serait erronée, étant rappelé que le droit d'être entendu ne permet pas d'exiger d'être entendu oralement par l'autorité administrative ou par le juge. Le recours est ainsi mal fondé, dans la mesure de sa recevabilité.</w:t>
      </w:r>
    </w:p>
    <w:p>
      <w:r>
        <w:rPr>
          <w:b/>
        </w:rPr>
        <w:t>E. 7</w:t>
      </w:r>
    </w:p>
    <w:p>
      <w:r>
        <w:t>Au demeurant, il ressort des pièces du dossier que l'assuré n'a jamais déclaré son compte auprès de la banque COOP, qu'il a omis d'annoncer au SPC que sa fortune ne s'élevait pas à 90'000 fr, mais en tout cas à 135'000 fr, au 31 décembre 2010, voire auparavant déjà, qu'il n'a pas non plus mentionné que son capital LPP était de plus de 22'000 fr. et non pas de quelques 16'000 fr. et qu'il percevait un salaire en 2006 déjà. De plus, la baisse de salaire à 10'000 fr. brut et net en 2011 (selon un certificat signé par ses soins) est plus que douteuse, tout comme le salaire fixé à 12'000 fr. brut sans changement depuis 2007, alors que l'assuré perçoit fin 2008 déjà d'autres montants sur l'un de ses comptes et qu'il a demandé en août 2010 si ses prestations seraient maintenues en cas de hausse de salaire. Ces éléments, ainsi que l'engagement de son fils en tant qu'apprenti chez X__________ laissent croire que l'assuré a une position dominante de fait dans cette société, qu'il a d'ailleurs reprise en 2013 avec son fils, juste après la radiation de Y__________, dans laquelle il aurait englouti ses économies. Compte tenu du fait que la décision sur opposition confirmée par le présent arrêt n'a force de chose jugée qu'en ce qui concerne les éléments de revenus et de fortune du 1er janvier 2011 au 28 février 2013, il est loisible au SPC d'entreprendre une révision pour la période antérieure.</w:t>
      </w:r>
    </w:p>
    <w:p>
      <w:r>
        <w:t>A/1367/2013 - 11/11 -</w:t>
      </w:r>
    </w:p>
    <w:p>
      <w:r>
        <w:rPr>
          <w:b/>
        </w:rPr>
        <w:t>E. 8</w:t>
      </w:r>
    </w:p>
    <w:p>
      <w:r>
        <w:t>Le recours, mal fondé, est rejeté.</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