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ATAS/719/2009 vom 9. Juni 2009</w:t>
      </w:r>
    </w:p>
    <w:p>
      <w:r>
        <w:t>GE Cour de justice, 2009-06-09, FR</w:t>
      </w:r>
    </w:p>
    <w:p>
      <w:r>
        <w:rPr>
          <w:b/>
        </w:rPr>
        <w:t xml:space="preserve">Quelle: </w:t>
      </w:r>
      <w:r>
        <w:t>https://mcp.opencaselaw.ch/entscheid/ge_gerichte_ATAS_719_2009</w:t>
      </w:r>
    </w:p>
    <w:p>
      <w:r>
        <w:t>FR: GE_GERICHTE ATAS/719/2009 du 9 juin 2009</w:t>
      </w:r>
    </w:p>
    <w:p>
      <w:r>
        <w:t>IT: GE_GERICHTE ATAS/719/2009 del 9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A/661/2009 - 10/20 -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26 janvier 2009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dès mars 2004 ou à une mesure d’ordre professionnel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Interjeté dans les forme et délai prévus par la loi, le présent recours est recevable (art. 56 à 61 LPGA).</w:t>
      </w:r>
    </w:p>
    <w:p>
      <w:r>
        <w:rPr>
          <w:b/>
        </w:rPr>
        <w:t>E. 4</w:t>
      </w:r>
    </w:p>
    <w:p>
      <w:r>
        <w:t>La question litigieuse est de savoir si c’est à juste titre que l’OCAI a nié à l’assuré le droit à des prestations de l’assurance-invalidité, en particulier à une rente et à une mesure d’ordre professionnel.</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A/661/2009 - 11/20 -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A/661/2009 - 12/20 -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dans sa décision du 7 mars 2007, l’OCAI avait nié le droit de l’assuré à toute prestation sur la base du rapport rhumato-psychiatrique du SMR du 19 juillet 2005. Cependant, par jugement subséquent du Tribunal de céans, la cause lui a été renvoyée pour instruction complémentaire concernant l’état de santé psychique de l’assuré. Suite à une expertise conduite par le Dr R___________, l’OCAI a considéré que les conclusions de l’expertise rejoignaient celles du SMR du 19 juillet 2005, de sorte que l’assuré présentait une entière capacité de travail dans une activité adaptée à ses limitations fonctionnelles somatiques.</w:t>
      </w:r>
    </w:p>
    <w:p>
      <w:r>
        <w:rPr>
          <w:b/>
        </w:rPr>
        <w:t>E. 8.1</w:t>
      </w:r>
    </w:p>
    <w:p>
      <w:r>
        <w:t>Sur le plan somatique, il ressort du dossier que tant l’examinateur du SMR que les divers autres médecins qui ont examiné l’assuré, ont tous posé des diagnostics similaires.</w:t>
      </w:r>
    </w:p>
    <w:p>
      <w:r>
        <w:t>Les médecins traitants ne se sont cependant pas prononcés clairement sur la capacité de travail de l’assuré dans une activité adaptée, au contraire de l’examinateur du SMR qui a conclu que sa capacité de travail était entière depuis mars 2003 dans une activité tenant compte de ses limitations fonctionnelles qui concernaient l’absence de port de charges supérieures à 15 kg de façon répétitive, de position en génuflexion, de montée ou descente d'escaliers à répétition, de position statique debout au-delà de 45 minutes et en position assise au-delà de 1h30, de position en antéflexion ou en porte-à-faux du rachis et la possibilité de varier les positions une fois par heure, de préférence à sa guise ainsi que le travail dans un local de travail tempéré. L’examinateur du SMR a relevé que la capacité de travail devait notamment être réévaluée après perte pondérale et éventuel traitement chirurgical du genou gauche. Ce traitement chirurgical a eu lieu en date du 13 novembre 2006 et l’assuré a séjourné à la Clinique de Montana pour suite de traitement et rééducation. D’après les médecins de cette Clinique, l’état de santé de l’assuré avait bien évolué avec augmentation de la force musculaire des membres inférieurs et interruption du traitement antalgique et l’assuré avait même été capable de monter et descendre les escaliers sans problème à la fin du séjour. Un</w:t>
      </w:r>
    </w:p>
    <w:p>
      <w:r>
        <w:t>A/661/2009 - 13/20 - médecin du SMR avait ainsi conclu dans une note du 5 mars 2007 que l’assuré pouvait, eu égard à ses atteintes physiques, débuter une activité lucrative dès le 1er janvier 2007.</w:t>
      </w:r>
    </w:p>
    <w:p>
      <w:r>
        <w:t>Au vu de ce qui précède, il appert que les conclusions du rapport du SMR du 19 juillet 2005, confirmées par les médecins de la Clinique de Montana, doivent être suivies en ce qui concerne l’état de santé somatique de l’assuré. Au demeurant, il y a lieu de relever que le rapport SMR présente valeur probante au sens de la jurisprudence en ce qui concerne le volet somatique, l’examinateur s’étant basé sur les plaintes de l’assuré, sur son dossier radiologique et ayant clairement exposé les résultats des examens effectués, les diagnostics et motivé ses conclusions. Enfin, le fait qu’il existe des erreurs qui se soient glissées dans le cadre de l’anamnèse (cf. ATAS/200/2008, p. 11), n’a pas de répercussion sur les conclusions portant sur l’état de santé somatique de l’assuré, et ne permet pas non plus de mettre en doute l’objectivité de l’examinateur.</w:t>
      </w:r>
    </w:p>
    <w:p>
      <w:r>
        <w:rPr>
          <w:b/>
        </w:rPr>
        <w:t>E. 8.2</w:t>
      </w:r>
    </w:p>
    <w:p>
      <w:r>
        <w:t>Pour ce qui est de l’état de santé psychique de l’assuré, le Dr R___________, a retenu, dans son rapport d’expertise du 3 juillet 2008, les diagnostics de trouble somatoforme (F45) et de personnalité frustre (F60.8), diagnostics n’ayant pas de répercussion sur la capacité de travail. Il a conclu que l’assuré ne présentait aucune limitation fonctionnelle du point de vue psychique et social, de sorte qu’une entière capacité de travail devait être retenue.</w:t>
      </w:r>
    </w:p>
    <w:p>
      <w:r>
        <w:t>Ce rapport est basé sur une anamnèse détaillée familiale, professionnelle et médicale, sur les plaintes de l’assuré et sur son dossier médical. Les constatations objectives sont exposées de manière limpide. Les diagnostics sont posés et les conclusions bien motivées. En effet, on comprend pourquoi les diagnostics ont été retenus et ce qui a conduit l’expert à conclure à une entière capacité de travail, sans limitations fonctionnelles. L’assuré soutient que ce rapport contiendrait contradictions et préjugés, sans toutefois motiver son point de vue. Le Tribunal ne comprend pas à quels éléments l’assuré fait allusion et constate au contraire que l’expert a fait un exposé objectif de l’état de santé de l’assuré, puis, a apprécié les résultats des examens effectués pour en tirer des conclusions. Le fait, par exemple, que selon l’expert, l’assuré présente dans son quotidien un comportement qui ne correspond pas à celui d’un malade qui souffre d’une dépression est le résultat de l’appréciation de constatations objectives de l’expert et n’est pas un indice permettant de remettre en cause le bien-fondé du rapport d’examen. Le Tribunal considère ainsi que ce rapport présente valeur probante au sens de la jurisprudence.</w:t>
      </w:r>
    </w:p>
    <w:p>
      <w:r>
        <w:t>A/661/2009 - 14/20 -</w:t>
      </w:r>
    </w:p>
    <w:p>
      <w:r>
        <w:rPr>
          <w:b/>
        </w:rPr>
        <w:t>E. 8.3</w:t>
      </w:r>
    </w:p>
    <w:p>
      <w:r>
        <w:t>Le Dr N___________, psychiatre traitant, a posé, au mois d’avril 2004, le diagnostic de syndrome douloureux chronique et de trouble dépressif d’intensité sévère avec somatisation (sans symptômes psychotiques) et de céphalées chroniques et a déterminé que la capacité de travail de l’assuré était nulle depuis le mois de juin 2003. Son rapport met certes en évidence des diagnostics différents de ceux retenus par l’expert et des conclusions divergentes concernant la capacité de travail, cependant, le psychiatre a indiqué que les plaintes de l’assuré étaient généralisées, de nature souvent hypocondriaque, son attention étant centrée sur sa santé psychique et physique, considérations qui vont dans le même sens que celles de l’expert. Il doit également être constaté que le rapport du Dr N___________ n’est que succinct et peu motivé, de sorte qu’il ne saurait remettre en cause le rapport probant de l’expert, lequel l’avait du reste pris en considération.</w:t>
      </w:r>
    </w:p>
    <w:p>
      <w:r>
        <w:t>Quant au rapport du Dr Q___________, spécialiste en médecine interne et en endocrinologie-diabétologie, il ne saurait remettre en doute les conclusions d’un spécialiste en psychiatrie.</w:t>
      </w:r>
    </w:p>
    <w:p>
      <w:r>
        <w:t>Par conséquent, il apparaît que les conclusions des Drs N___________ et Q___________ ne permettent pas au Tribunal de céans de s’écarter des conclusions de l’expertise.</w:t>
      </w:r>
    </w:p>
    <w:p>
      <w:r>
        <w:rPr>
          <w:b/>
        </w:rPr>
        <w:t>E. 8.4</w:t>
      </w:r>
    </w:p>
    <w:p>
      <w:r>
        <w:t>Reste à déterminer si le trouble somatoforme mis en exergue par l’expert et dont souffre l’assuré est invalidant.</w:t>
      </w:r>
    </w:p>
    <w:p>
      <w:r>
        <w:rPr>
          <w:b/>
        </w:rPr>
        <w:t>E. 8.5</w:t>
      </w:r>
    </w:p>
    <w:p>
      <w:r>
        <w:t>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A/661/2009 - 15/20 -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8.6</w:t>
      </w:r>
    </w:p>
    <w:p>
      <w:r>
        <w:t>Il y a lieu d’examiner dans un premier temps si l’assuré présente une comorbidité psychiatrique importante de par sa gravité, son acuité et sa durée. L’expert a retenu que l’assuré présentait un sentiment de dévalorisation et d’infériorité, une légère perturbation de la concentration, des idées noires ainsi qu’une tension nerveuse, une irritabilité, une tristesse légère, une humeur dépressive légère, ainsi qu’un sentiment de dévalorisation correspondant à un état mixte anxio-dépressif. L’expert n’a pu objectiver aucune limitation relative à l’état de santé psychique de l’assuré. Ces constatations ne permettent manifestement pas de conclure à la présence d’une comorbidité psychiatrique importante de par sa gravité et de son acuité au sens de la jurisprudence. Les autres critères permettant de conclure à l’exigibilité, au plan psychique, de la reprise d’une activité lucrative, ne sont pas non plus remplis. En effet, même s’il peut être considéré qu’il existe des affections somatiques chroniques s’étendant sur plusieurs années sans rémission durable, il n’apparaît pas que l’assuré subisse de perte d’intégration sociale, présente un état psychique cristallisé, sans évolution possible au plan thérapeutique ou que les traitements ambulatoires ou stationnaires conformes aux règles de l’art aient échoués.</w:t>
      </w:r>
    </w:p>
    <w:p>
      <w:r>
        <w:t>A/661/2009 - 16/20 -</w:t>
      </w:r>
    </w:p>
    <w:p>
      <w:r>
        <w:rPr>
          <w:b/>
        </w:rPr>
        <w:t>E. 8.7</w:t>
      </w:r>
    </w:p>
    <w:p>
      <w:r>
        <w:t>Par conséquent, c’est avec raison que l’OCAI a considéré que le syndrome somatoforme douloureux persistant n’avait pas de caractère invalidant au sens de la jurisprudence et que l’assuré présentait une entière capacité de travail dans une activité lucrative adaptée à ses limitations fonctionnelles, comme retenu tant par l’examinateur SMR que par l’expert psychiatre.</w:t>
      </w:r>
    </w:p>
    <w:p>
      <w:r>
        <w:rPr>
          <w:b/>
        </w:rPr>
        <w:t>E. 9</w:t>
      </w:r>
    </w:p>
    <w:p>
      <w:r>
        <w:t>Il y a ainsi lieu de se prononcer sur le degré d’invalidité de l’assuré.</w:t>
      </w:r>
    </w:p>
    <w:p>
      <w:r>
        <w:rPr>
          <w:b/>
        </w:rPr>
        <w:t>E. 10</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(art. 28 al. 2 LAI dès le 1er janvier 2008). Chez les assurés actifs, le taux d'invalidité s'obtient en comparant le revenu du travail qu'il pourrait acquérir en exerçant l'activité qu'on peut raisonnablement attendre de lui, après exécution éventuelle de mesures de réadaptation et compte tenu d'une situation équilibrée du marché du travail, à celui qu'il aurait pu réaliser s'il n'était pas invalide (art. 16 LPGA et 28 al. 2 LAI; méthode générale de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w:t>
      </w:r>
    </w:p>
    <w:p>
      <w:r>
        <w:t>A/661/2009 - 17/20 - Le revenu de la personne valide se détermine en établissant au degré de vraisemblance prépondérante ce qu’elle aurait effectivement pu réaliser au moment déterminant si elle avait été en bonne santé (ATF 129 V 222 consid. 4.3.1 et la référence). Il doit être évalué de manière aussi concrète que possible si bien qu’il convient, en règle générale, de se référer au dernier salaire que l’assuré a obtenu avant l’atteinte à la santé</w:t>
      </w:r>
    </w:p>
    <w:p>
      <w:r>
        <w:rPr>
          <w:b/>
        </w:rPr>
        <w:t>E. 11</w:t>
      </w:r>
    </w:p>
    <w:p>
      <w:r>
        <w:t>En l’espèce, dans son calcul du degré d’invalidité du 24 mai 2006, l’OCAI a déterminé le revenu sans invalidité sur la base des renseignements fournis par le dernier employeur de l’assuré. Le revenu avec invalidité a quant à lui été basé sur l’Enquête suisse sur la structure des salaires 2004, tableau TA1, tous secteurs confondus pour des activités simples et répétitives, l’assuré n’ayant pas repris d’activité lucrative depuis son arrêt de travail en 2003. Le montant ainsi obtenu a été adapté à la durée normale de travail en 2004 (Vie économique 1-2 2009, tableau B 9.2) et l’OCAI a procédé à un abattement de 15%. Le Tribunal de céans considère que l’abattement retenu de 15% suffit à prendre en compte les limitations fonctionnelles ainsi que l’âge de l’assuré, de sorte qu’un taux plus important ne se justifierait pas. Le calcul auquel a procédé l’OCAI n’est dès lors pas critiquable. Le taux d’invalidité de 29,9% n’est pas susceptible d’ouvrir à l’assuré le droit à une rente d’invalidité, de sorte que le recours sera rejeté sur ce point.</w:t>
      </w:r>
    </w:p>
    <w:p>
      <w:r>
        <w:rPr>
          <w:b/>
        </w:rPr>
        <w:t>E. 12</w:t>
      </w:r>
    </w:p>
    <w:p>
      <w:r>
        <w:t>Se pose enfin la question de l’octroi d’une mesure d’ordre professionnel, soit en particulier d’une mesure de reclassement ou d’une aide au placement.</w:t>
      </w:r>
    </w:p>
    <w:p>
      <w:r>
        <w:rPr>
          <w:b/>
        </w:rPr>
        <w:t>E. 12.1</w:t>
      </w:r>
    </w:p>
    <w:p>
      <w:r>
        <w:t>À teneur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L’art. 8 al. 1bis 2ème phrase LAI prévoit que lors de la fixation de ces mesures, il est tenu compte de la durée probable de la vie professionnelle restante. De plus, l’art. 8 al. 3 let. b LAI précise que les mesures de réadaptation comprennent notamment les mesures d’ordre professionnel, soit l’orientation professionnelle, la formation professionnelle initiale, le reclassement, le placement et l’aide en capital. Selon l'art. 17 al. 1 LAI, l'assuré a droit au reclassement dans une nouvelle profession si son invalidité rend cette mesure nécessaire et que sa capacité de gain peut ainsi, selon toute vraisemblance, être sauvegardée ou améliorée. Par reclassement, la jurisprudence entend l'ensemble des mesures de réadaptation de nature professionnelle qui sont nécessaires et suffisantes pour procurer à l'assuré</w:t>
      </w:r>
    </w:p>
    <w:p>
      <w:r>
        <w:t>A/661/2009 - 18/20 - une possibilité de gain à peu près équivalente à celle que lui offrait son ancienne activité.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12.2</w:t>
      </w:r>
    </w:p>
    <w:p>
      <w:r>
        <w:t>. En l’espèce, l’assuré remplit manifestement les conditions objectives du droit au reclassement soit, la diminution de capacité de gain de plus de 20% et le changement de profession.</w:t>
      </w:r>
    </w:p>
    <w:p>
      <w:r>
        <w:t>Toutefois, même si l’expert psychiatre a, dans son rapport du 3 juillet 2008, expliqué que l’assuré se disait prêt à débuter une activité lucrative, il a également soulevé son ambivalence concernant une telle reprise, de sorte qu’il est difficile de déterminer si l’assuré présente actuellement la volonté d’en entreprendre une.</w:t>
      </w:r>
    </w:p>
    <w:p>
      <w:r>
        <w:t>Par ailleurs, au vu des limitations fonctionnelles présentées pas l’assuré, il y a lieu de considérer, que sur un marché du travail équilibré, il existe un éventail suffisamment varié d’activités pouvant être exercées par l’assuré sans qu’une formation professionnelle ne soit nécessaire. Quoi qu’il en soit, au moment de la décision dont est recours, l’assuré était âgé de 60 ans. Au vu du nombre de mois, voire d’années nécessité par une mesure de reclassement professionnel, il y a lieu de constater que le temps dont dispose l’assuré pour mettre à contribution sa capacité de travail dans une profession nouvellement apprise serait bref. Le coût de la mesure serait ainsi en totale disproportion avec le but visé.</w:t>
      </w:r>
    </w:p>
    <w:p>
      <w:r>
        <w:t>Par conséquent, la décision de l’OCAI sera également confirmée sur ce point.</w:t>
      </w:r>
    </w:p>
    <w:p>
      <w:r>
        <w:t>A/661/2009 - 19/20 -</w:t>
      </w:r>
    </w:p>
    <w:p>
      <w:r>
        <w:rPr>
          <w:b/>
        </w:rPr>
        <w:t>E. 12.3</w:t>
      </w:r>
    </w:p>
    <w:p>
      <w:r>
        <w:t>L’OCAI a enfin fait savoir à l’assuré, dans sa décision du 26 janvier 2009, qu’une mesure d’aide au placement pourrait être octroyée à sa demande. Il sera ainsi rappelé à l’assuré qu’il pourra solliciter en tout temps une telle mesure s’il en ressent le besoin.</w:t>
      </w:r>
    </w:p>
    <w:p>
      <w:r>
        <w:t>A/661/2009 - 20/20 -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