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ATAS/718/2025 vom 24. September 2025</w:t>
      </w:r>
    </w:p>
    <w:p>
      <w:r>
        <w:t>GE Cour de justice, 2025-09-24, FR</w:t>
      </w:r>
    </w:p>
    <w:p>
      <w:r>
        <w:rPr>
          <w:b/>
        </w:rPr>
        <w:t xml:space="preserve">Quelle: </w:t>
      </w:r>
      <w:r>
        <w:t>https://mcp.opencaselaw.ch/entscheid/ge_gerichte_ATAS_718_2025</w:t>
      </w:r>
    </w:p>
    <w:p>
      <w:r>
        <w:t>FR: GE_GERICHTE ATAS/718/2025 du 24 septembre 2025</w:t>
      </w:r>
    </w:p>
    <w:p>
      <w:r>
        <w:t>IT: GE_GERICHTE ATAS/718/2025 del 24 settembre 2025</w:t>
      </w:r>
    </w:p>
    <w:p>
      <w:pPr>
        <w:pStyle w:val="Heading2"/>
      </w:pPr>
      <w:r>
        <w:t>Erwägungen</w:t>
      </w:r>
    </w:p>
    <w:p>
      <w:r>
        <w:rPr>
          <w:b/>
        </w:rPr>
        <w:t>E. 28</w:t>
      </w:r>
    </w:p>
    <w:p>
      <w:r>
        <w:t>février 2019.</w:t>
      </w:r>
    </w:p>
    <w:p>
      <w:r>
        <w:t>A/3074/2024 - 8/25 - Le n° de cause A/3075/2024 a été attribué au recours dirigé contre la décision du 18 septembre 2024 concernant la période du 1er mars 2019 au 30 novembre 2020. c. Le 17 octobre 2024, l’OAI a répondu dans les deux causes, considérant que l’expertise du CEMEDEX du 3 avril 2024 répondait aux réquisits jurisprudentiels, de sorte qu’une pleine valeur probante devait lui être reconnue. S’agissant ensuite du calcul du degré d’invalidité, c’était à juste titre qu’il avait appliqué la méthode extraordinaire, laquelle laissait apparaître un préjudice économique de 64% entre 2014 et 2018, de 67% entre 2019 et août 2020 et depuis septembre 2020 de 80%, ce qui donnait droit à trois quarts de rente, respectivement à une rente entière. Enfin, s’agissant des intérêts moratoires, l’office intimé se référait à la détermination de la caisse cantonale genevoise de compensation (CCGC) du même jour, en annexe. d. Dans les deux causes, les parties ont précisé leurs positions respectives sur le plan médical par écritures des 18 décembre 2024 et 11 mars 2025 (recourant) et 16 janvier 2025 (office intimé). e. Par courrier du 29 août 2025, le recourant a rectifié une imprécision qui s’était glissée dans les conclusions de son recours, expliquant que sa volonté n’était pas d’annuler la décision querellée pour n’obtenir qu’un droit à la rente limité à une période plus courte mais bien d’obtenir une rente entière depuis le 1er février 2015. Aussi, il concluait à ce que la décision querellée soit réformée et non pas annulée.</w:t>
      </w:r>
    </w:p>
    <w:p>
      <w:r>
        <w:t>EN DROIT 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Le délai de recours est de 30 jours (art. 56 LPGA ; art. 62 al. 1 de la loi sur la procédure administrative du 12 septembre 1985 [LPA - E 5 10]). Interjeté dans la forme et le délai prévus par la loi, le recours est recevable.</w:t>
      </w:r>
    </w:p>
    <w:p>
      <w:r>
        <w:t>A/3074/2024 - 9/25 - 2.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En l’espèce, les deux décisions querellées concernent le droit du recourant à une rente entière en raison des mêmes atteintes, seules les périodes visées par les décisions du 15 août 2024 étant différentes. Deux décisions différentes ayant été notifiées, il existe deux liens d’instance et ce même si l’assuré n’a formellement formé qu’un seul acte de recours. La chambre a attribué le n° de cause A/3074/2024 au recours dirigé contre la décision du 18 septembre 2024 relative à la période courant du 1er février 2015 au 28 février 2019 et le n° de cause A/3075/2024 à celui dirigé contre la décision du 18 septembre 2024 concernant la période du 1er mars 2019 au 30 novembre 2020. Dans ces circonstances, il convient donc préalablement de joindre les deux procédures précitées sous le n° A/3074/2024. 3. Le litige porte sur le droit du recourant à une rente entière pour la période du 1er février 2015 au 30 novembre 2020, en lieu et place de trois quarts de rente accordé par l’OAI, singulièrement sur la valeur probante de l’expertise du CEMEDEX et la comparaison des revenus. Le litige porte en outre sur le calcul des intérêts moratoires dus par l’office intimé. 4.</w:t>
      </w:r>
    </w:p>
    <w:p>
      <w:r>
        <w:t>4.1 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t>A/3074/2024 - 10/25 - 4.2 En l’occurrence, la décision litigieuse, bien que rendue après le 1er janvier 2022, porte sur la rente due entre le 1er février 2015 au 30 novembre 2020, soit une période antérieure aux modifications de la LAI, de sorte que les dispositions légales applicables seront citées dans leur ancienne teneur. 5.</w:t>
      </w:r>
    </w:p>
    <w:p>
      <w:r>
        <w:t>5.1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5.2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w:t>
      </w:r>
    </w:p>
    <w:p>
      <w:r>
        <w:t>A/3074/2024 - 11/25 -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5.4 5.4.1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w:t>
      </w:r>
    </w:p>
    <w:p>
      <w:r>
        <w:t>A/3074/2024 - 12/25 - en pour-cent et la méthode extraordinaire de comparaison des revenus (ATF 137 V 334 consid. 3.1.1 et les références). 5.4.2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1er septembre 2011 consid. 3.3, et les références).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w:t>
      </w:r>
    </w:p>
    <w:p>
      <w:r>
        <w:t>A/3074/2024 - 13/25 - violerait le principe légal selon lequel l'invalidité, pour cette catégorie d'assurés, doit être déterminée d'après l'incapacité de gain (ATF 128 V 29 consid. 1 et les références). Pour autant que la taille et l'organisation de son entreprise le permettent, on peut exiger d'un assuré de condition indépendante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Concrètement, la détermination de l’invalidité se fait en deux temps dans le cadre de la méthode extraordinaire (Circulaire de l'OFAS concernant l'invalidité et l'impotence de l'assurance-invalidité établie [CIIAI], en vigueur jusqu’à</w:t>
      </w:r>
    </w:p>
    <w:p>
      <w:r>
        <w:rPr>
          <w:b/>
        </w:rPr>
        <w:t>E. 31</w:t>
      </w:r>
    </w:p>
    <w:p>
      <w:r>
        <w:t>décembre 2021, ch. 3105s) :  Il faut, tout d’abord, effectuer une comparaison des champs d’activités, en établissant quelles sont les activités que l’assuré pourrait exercer avec et sans atteinte à la santé, et dans quel laps de temps il pourrait les accomplir. Dans ce contexte, il y a notamment lieu d’examiner dans quelle mesure il lui serait possible de réduire sa perte de gain, en substituant à certaines des tâches qu’il accomplissait auparavant d’autres tâches, mieux adaptées au handicap dont il souffre.  Ensuite, il s’agira de pondérer les activités en appliquant à chaque activité le salaire de référence usuel dans la branche. On peut ainsi déterminer le revenu sans invalidité et le revenu d’invalide et effectuer une comparaison des revenus. Concrètement, il y a lieu de pondérer les activités exercées par l'indépendant en appliquant à chaque activité le salaire de référence usuel dans la branche. L'incidence des empêchements dans les diverses activités sur la capacité de gain peut se déterminer de deux manières différentes :  Selon la formule suivante (ATF 128 V 29 consid. 4a) :</w:t>
      </w:r>
    </w:p>
    <w:p>
      <w:r>
        <w:t>A/3074/2024 - 14/25 -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  Selon le tableau suivant (ch. 3106 CIAII) : Description des activités Pondération sans handicap Pondération avec handicap Revenu en francs Revenu sans handicap Revenu avec handicap … …% …% CHF … CHF … CHF … … …% …% CHF … CHF … CHF … Total 100% …% CHF … CHF … CHF … La détermination du degré d’invalidité s’effectue ensuite de la manière suivante :</w:t>
      </w:r>
    </w:p>
    <w:p>
      <w:r>
        <w:t>Revenu sans handicap - Revenu avec handicap</w:t>
      </w:r>
    </w:p>
    <w:p>
      <w:r>
        <w:t>Perte de gain liée au handicap Et la perte de gain en % (correspondant à l’invalidité en %) = perte de gain liée au handicap / revenu sans invalidité.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(arrêts du Tribunal fédéral 9C_810/2017 du 9 avril 2018 consid. 2.2 ; 9C_394/2009 du 8 janvier 2010 consid. 5.2 ss). De jurisprudence constante, ce n'est qu'à des conditions strictes que l'on peut considérer qu'un changement d'activité professionnelle, singulièrement la cessation d'une activité agricole, ne constitue pas une mesure raisonnablement exigible de l'assuré ; en particulier, l'activité exercée jusqu'alors ne doit pas être poursuivie aux coûts de l'assurance-invalidité, même si l'intéressé effectue un travail d'une certaine importance économique (arrêts du Tribunal fédéral 9C_644/2015 du 3 mai 2016 consid. 4.3.1 ; 8C_413/2015 du 3 novembre 2015 consid. 3.3.1 ; 9C_357/2014 du 7 avril 2015,</w:t>
      </w:r>
    </w:p>
    <w:p>
      <w:r>
        <w:t>A/3074/2024 - 15/25 - consid. 2.3.1 ; 9C_624/2013 du 11 décembre 2013 consid. 3.1.1 ; 9C_834/2011 du 2 avril 2012 consid. 4 et les références). 5.5 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 5.6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6.</w:t>
      </w:r>
    </w:p>
    <w:p>
      <w:r>
        <w:t>6.1 En l’espèce, la chambre de céans a déjà été amenée à deux reprises à se prononcer sur le bien-fondé des décisions que l’intimé a prises suite à la demande de prestations du 24 août 2012. À chaque fois, la décision querellée a été annulée et la cause a été renvoyée à l’intimé (cf. ATAS/183/2019 du 6 mars 2019 et ATAS/203/2023 du 22 mars 2023) ce dernier étant invité, d’une part, à compléter son instruction en faisant procéder à une expertise pluridisciplinaire et, d’autre part, à calculer le degré d’invalidité du recourant en appliquant la méthode extraordinaire. Suite au dernier renvoi, l’intimé a ordonné une nouvelle expertise, laquelle a été attribuée de manière aléatoire au centre CEMEDEX à Fribourg (lequel avait déjà été mandaté pour l’expertise médicale effectuée suite au premier renvoi). Dans leur rapport du 3 avril 2024, les experts ont notamment conclu, consensuellement, à une capacité de travail nulle depuis octobre 2012 dans l’activité habituelle. Dans une activité adaptée aux limitations fonctionnelles (activité légère), la capacité de travail était nulle d’octobre 2012 à mai 2014, de 40% de juin 2014 à août 2020 et de 35% dès septembre 2020. Retenant les conclusions précitées, l’intimé a appliqué, dans son rapport interne daté du 5 juillet 2024, la méthode extraordinaire de comparaison des revenus, laquelle a mené à un degré d’invalidité compris entre 64% et 67% de juin 2014 à août 2020 et de 80% dès septembre 2020 (cf. pièce 251, OAI).</w:t>
      </w:r>
    </w:p>
    <w:p>
      <w:r>
        <w:t>A/3074/2024 - 16/25 - Dans ses décisions du 15 août 2024, l’intimé a repris les degrés d’invalidité précités et a accordé au recourant un trois quarts de rente pour la période du 1er février 2015 au 28 février 2019 et celle concernant la période du 1er mars 2019 au 30 novembre 2020. Par deux autres décisions datées du même jour, l’intimé a mis le recourant au bénéfice d’une rente entière dès le 1er décembre 2020. C’est contre les deux premières décisions que l’assuré a interjeté recours, contestant les conclusions des experts du CEMEDEX, et, partant, la valeur probante de leur rapport, et considérant, en se référant aux rapports de ses propres médecins traitants, que sa capacité de travail résiduelle était de 30% au maximum, ce qui correspondait, selon lui, à une invalidité de 70% et donnait droit à une rente entière. Le recourant a également remis en question la comparaison des revenus effectuée par l’office intimé, compte tenu de la capacité de travail résiduelle de 30% qu’il invoquant. La question de la valeur probante du rapport du CEMEDEX peut toutefois en l’état rester ouverte, dès lors que même en retenant les conclusions dudit rapport s’agissant de la capacité de travail résiduelle, le recourant a droit à une rente entière comme cela ressort des considérations qui suivent. 6.2 À titre liminaire, la chambre de céans relève que l’intimé semble avoir procédé à la comparaison des revenus conformément à la méthode extraordinaire, selon laquelle, il faut se demander, dans un premier temps, quelles activités le recourant est encore en mesure d’effectuer malgré ses atteintes à la santé et d’examiner, dans un second temps, les effets des empêchements sur sa capacité de gain. 6.2.1 Dans son rapport d’enquête pour activité professionnelle indépendante du 29 septembre 2021, l’intimé a décrit l’activité du recourant avant et après l’atteinte à la santé. En substance, de 1992 jusqu’à ce qu’il soit atteint dans sa santé, le recourant réparait les bateaux (travaux d’électricité, de plomberie, de menuiserie, de peinture), utilisant différents matériaux (bois, composite, fibres, acier, résine) et outils (ponceuse, poste à souder, visseuse, perceuse). L’activité était saisonnière : de mars à juin, il effectuait l’entretien des bateaux puis les mettait à l’eau avant de les hiverner entre septembre et novembre. Il assurait également un service de dépannage d’urgence sur les bateaux, y compris pendant les jours fériés. Il se déplaçait en Suisse et à l’étranger pour convoyer des bateaux. Parfois, il coordonnait et supervisait des chantiers à l’étranger. Durant l’hiver, il effectuait principalement des travaux de rénovation dans les logements de particuliers. Concrètement, son activité consistait en 20% d’administratif et 80% de chantier, que l’intimé a apprécié comme suit :</w:t>
      </w:r>
    </w:p>
    <w:p>
      <w:r>
        <w:t>A/3074/2024 - 17/25 - - Travaux administratifs (mises à l’enquête pour les travaux dans le domaine du bâtiment, comptabilité, établissement des documents administratifs concernant la gestion de la société [gestion de la clientèle, téléphone, fax, entretien du chantier, établissement de devis et des factures, paiements, surveillance des tâcherons, suivi, coordination]) : 20% soit huit heures par semaine ; - Travaux sur le chantier naval (maintenance et entretien des bateaux ; réparation et montage ; hivernages) : 65% soit 26 heures par semaine ; - Entretien de bâtiments (électricité, plomberie, peinture, maçonnerie, menuiserie, etc. ; coordination des différents corps de métiers comme un contremaître) : 15%, soit six heures par semaine La question qui se pose est celle de savoir dans quelle mesure le recourant est encore en mesure d’exercer les tâches précitées compte tenu des atteintes à la santé qu’il présente, étant précisé que leur incidence sur la capacité de travail a été évaluée comme suit par les experts du CEMEDEX (cf. rapport du 3 avril 2024) :</w:t>
      </w:r>
    </w:p>
    <w:p>
      <w:r>
        <w:t>Dans l’activité habituelle Dans une activité adaptée Motivation (diagnostics, limitations fonctionnelles, type d’activité adaptée) Médecine interne 100% 100%  Pas de limitation en médecine interne générale Gastroentérologie 0% d’octobre 2012 à mai 2014 40% dès juin 2014 0% d’octobre 2012 à mai 2014 40% dès juin 2014  Asthénie majeure post-cancer, avec arrêt de l’activité l’après-midi (capacité de travail de 50%).  L’alimentation doit être flexible et adaptée avec plusieurs petits repas de quantité précise. Les horaires doivent être flexibles pour la prise des repas. Le dumping post-prandial impose une période de repos (-20 de rendement). Neurologie 0% depuis 2013 64% de 2013 à août 2020 56% depuis septembre 2020  Activités légères ne nécessitant pas de déplacements sur terrains irréguliers, de monter sur des escabeaux, limitant la marche et le port de charges.  Perte d’endurance : capacité de travail de 80% dès 2013 et de 70% dès 2020.  Perte de rendement liée à toute manipulation nécessitant une certaine proprioception (clavier, objets, etc. ; -20% de rendement) Psychiatrie 35% dès septembre 2020 35% dès septembre 2020%  Fatigue, fatigabilité, difficultés de concentration et d’organisation pouvant mener à des erreurs, diminution de rendement. L’assuré peut se disperser en cas de tâches</w:t>
      </w:r>
    </w:p>
    <w:p>
      <w:r>
        <w:t>A/3074/2024 - 18/25 - multiples, difficultés de tolérance au stress et à la pression. De la combinaison des rapports d’enquête pour activité professionnelle indépendante des 29 septembre 2021 et 5 juillet 2024, (doc. 170 et 251, int.) il ressort que l’intimé a retenu que, durant la période litigieuse : - Le recourant avait progressivement augmenté la partie « administration et gestion » principalement avec la surveillance des travaux des tiers, du chantier de la villa en 2017. L’intimé a donc estimé qu’avec atteinte à la santé, le recourant pouvait effectuer 20 heures de travaux administratifs par semaine, avec une diminution de rendement de 60%. - L’intimé a toutefois estimé que le recourant ne pouvait plus effectuer de travaux lourds et a retenu une diminution de rendement de 100%. - Concernant les travaux légers, l’horaire sans handicap était de six heures par semaine et, avec handicap, toujours de six heures par semaine mais désormais avec une diminution de rendement de 60%, le recourant étant encore capable d’effectuer ces petits travaux légers avec l’aide d’une tierce personne. - S’agissant des travaux de rénovation et d’entretien de bâtiments, le recourant pouvait encore travailler quatre heures par semaine, avec une diminution de rendement de 60% à 80% (le taux variant en fonction du rapport retenu), étant précisé que la rénovation de la villa avait eu lieu en 2017 mais que par la suite, le recourant avait fortement réduit cette activité en fonction de ses limitations fonctionnelles. - Suite à son atteinte à la santé, le recourant s’occupait de convoyer des bateaux sur le territoire suisse ou à l’étranger et coordonnait des travaux d’entretien. Cette activité était estimée à deux heures par semaine, avec une diminution de rendement de 60%. - Toujours en raison de son atteinte, le recourant s’était reconverti dans les cours de bateau, activité qui était estimée à quatre heures par semaine, avec une diminution de rendement de 60%. L’intimé a récapitulé ce qui précède dans son document du 5 juillet 2024, dans les deux tableaux suivants :</w:t>
      </w:r>
    </w:p>
    <w:p>
      <w:r>
        <w:t>A/3074/2024 - 19/25 - 2014-2018 (sans travaux lourds amis avec bateau-école) : Champs d’activités Horaire sans handicap Horaire avec handicap Baisse de rende- ment Salaire mensuel indexé selon OFS Salaire annuel hyp. sans handicap (en CHF) Salaire annuel hyp. avec handicap (en CHF) Perte écono- mique (en CHF) Administratif 8h00 20h00 60% 6'350.- 15'887.70 15'887.70 0.00 Travaux lourds 20h00 4h00 100% 5'968.- 37'329.85 0.00 37'329.85 Travaux légers 6h00 6h00 60% 5'490.- 10'302.00 4'120.80.- 6'181.20 Entretien 6h00 4h00 60% 5'622.- 10'549.70 2'813.25 7'736.45 Convoyage des bateaux 0h00 2h00 60% 5'295.- 0.00 1'324.80 -1'324.80 Bateaux- école 0h00 4h00 60% 5'555.- 0.00 2'779.70 -2'779.70 Total 40h00 40h00</w:t>
      </w:r>
    </w:p>
    <w:p>
      <w:r>
        <w:t>74'069.25 26'926.25 47'143.00 Perte de gain</w:t>
      </w:r>
    </w:p>
    <w:p>
      <w:r>
        <w:t>64%</w:t>
      </w:r>
    </w:p>
    <w:p>
      <w:r>
        <w:t>2019-2020 (sans travaux lourds et bateau-école) Champs d’activités Horaire sans handicap Horaire avec handicap Baisse de rende- ment Salaire mensuel indexé selon OFS Salaire annuel hyp. sans handicap (en CHF) Salaire annuel hyp. avec handicap (en CHF) Perte écono- mique (en CHF) Administratif 8h00 20h00 60% 6'350.- 15'887.70 15'887.70 0.00 Travaux lourds 20h00 4h00 100% 5'968.- 37'329.85 0.00 37'329.85 Travaux légers 6h00 6h00 60% 5'490.- 10'302.00 4'120.80.- 6'181.20 Entretien 6h00 4h00 60% 5'622.- 10'549.70 2'813.25 7'736.45 Convoyage des bateaux 0h00 2h00 60% 5'295.- 0.00 1'324.80 -1'324.80 Bateaux- école 0h00 4h00 100% 5'555.- 0.00 0.00 0.00 Total 40h00 40h00</w:t>
      </w:r>
    </w:p>
    <w:p>
      <w:r>
        <w:t>74'069.25 26'926.25 49'922.70 Perte de gain 2014-2018</w:t>
      </w:r>
    </w:p>
    <w:p>
      <w:r>
        <w:t>67%</w:t>
      </w:r>
    </w:p>
    <w:p>
      <w:r>
        <w:t>6.2.2 La chambre de céans ne saurait toutefois suivre l’intimé et confirmer l’appréciation ci-dessus sur les deux points suivants : - L’office intimé a retenu que sans invalidité, le recourant consacrait en moyenne six heures par semaine à l’entretien et la rénovation des bâtiments. On peut toutefois douter du fait que de telles activités puissent être considérées comme des activités légères. C’était d’ailleurs également l’avis de l’intimé, dans la mesure où, dans son premier rapport d’enquête, daté du 21 septembre 2021, il avait appliqué une diminution de rendement de 80% tant à l’activité d’entretien et de rénovation des bâtiments qu’à celle sur le</w:t>
      </w:r>
    </w:p>
    <w:p>
      <w:r>
        <w:t>A/3074/2024 - 20/25 - chantier naval, ce qui montre que ces deux activités étaient traitées de manière égale et par conséquent considérées comme des activités lourdes. Aussi, le calcul effectué par l’intimé sera-t-il modifié sur ce point, en ce sens que l’activité d’entretien et de rénovation des bâtiments, auparavant exercée à raison de six heures par semaine, est désormais impossible. - L’intimé a également considéré qu’afin de réduire son dommage suite à son atteinte, le recourant devait réorganiser ses tâches et augmenter la partie administrative de son activité à 20 heures par semaine. La chambre de céans ne saurait suivre l’intimé sur ce point, comme elle l’a déjà relevé dans ses précédents arrêts, dans lesquels elle a expliqué qu’eu égard à la taille de l’entreprise et compte tenu du fait que le recourant ne pouvait plus exercer les travaux lourds liés au chantier naval et à l’entretien des bâtiments, on ne saurait exiger de lui qu’il augmente ses activités administratives. En effet, son activité administrative consistait à des mises à l’enquête pour les travaux dans le domaine du bâtiment, comptabilité, établissement des documents administratifs concernant la gestion de la société (gestion de la clientèle, téléphone, fax, entretien du chantier, établissement de devis et des factures, paiements, surveillance des tâcherons, suivi, coordination). De toute évidence, si les travaux lourds ne peuvent plus être effectués, l’activité administrative y relative, telle que les mises à l’enquête, établissements de devis et de factures, etc., ne peut plus être réalisée non plus. Il n’y a dès lors pas de place pour une augmentation de cette activité, ce que la chambre de céans a déjà eu l’occasion de relever. Aussi, s’il passait huit heures par semaine à effectuer des travaux administratifs avant son atteinte à la santé, seule une capacité de travail de 40% est désormais exigible selon l’expert gastroentérologue depuis juin 2014, ce qui correspond à 3.2 heures hebdomadaires (40% x 8h). Le calcul de l’OAI doit donc être corrigé sur ce point. On peut même se demander si l’activité administrative ne serait pas encore moins importante que les trois heures précitées, dès lors qu’elle ne peut être en lien qu’avec les travaux légers, le convoyage de bateaux et le bateau-école, soit un total de cinq heures par semaine, après prise en considération de la diminution de rendement de 60%. Cette question peut toutefois rester ouverte en l’état, dès lors qu’elle n’a aucune incidence sur l’issue du litige. 6.2.3 Selon les indications de l’intimé, les salaires retenus pour la comparaison des revenus ressortent de la tabelle TA1 pour l’année 2018.</w:t>
      </w:r>
    </w:p>
    <w:p>
      <w:r>
        <w:t>A/3074/2024 - 21/25 - Dès lors que le droit à la rente est né le 1er février 2015, l’intimé ne pouvait retenir les données des tabelles éditées en 2018 pour déterminer le degré d’invalidité. En effet, de jurisprudence constante,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Au 1er février 2015, les indices sur les salaires n’étaient pas encore réévalués. Aussi, il convient de retenir les données statistiques de 2014, sans les indexer. Par ailleurs, depuis 2012, la tabelle TA1 a été remplacée par la tabelle TA1_skill_level (cf. annexe IV, CIIAI). En prenant les salaires statistiques de 2014, la situation est la suivante :</w:t>
      </w:r>
    </w:p>
    <w:p>
      <w:r>
        <w:t>Champs d’activités Horaire (semaine) sans handicap Horaire (semaine) avec handicap (sur une base de 40 h) Salaire annuel hypothétique sans handicap Salaire annuel hypothétique. avec handicap Perte économique (en CHF) Administratif1 8h00 (20%) 3h00 (7,5%) 15'540.007 5'827.5011 9'712.50 Travaux lourds2 20h00 (50%) 0h00 35'178.008 0.00 35'178.00 Travaux légers3 6h00 (15%) 2h30 (6,25%) 9'702.009 4'042.5012 5'659.50 Rénovation et entretien4 6h00 (15%) 0h00 9'912.6010 0.00 9'912.60 Convoyage des bateaux5 0h00 1h00 (2,5%) 0.00 1'515.4013 - 1'515.40 Bateaux-école6 0h00 1h30 (3,75%) 0.00 2'276.5514 - 2'276.55 Total 40h00 10h30 (26,25%) 70'332.60 13'662.45 56'670.15 Invalidité</w:t>
      </w:r>
    </w:p>
    <w:p>
      <w:r>
        <w:t>80.57%15</w:t>
      </w:r>
    </w:p>
    <w:p>
      <w:r>
        <w:t>1 ESS 2014 – Tabelle TA1_tirage_skill_level, ligne 77, 9-82 (activités de services administratifs [sans 78]), niveau de compétence 3 (tâches pratiques complexes) : CHF 6'475.- par mois ou CHF 77'700.- par année en 2014. 2 NOGA p. 109 et ESS 2014 – Tabelle TA1_tirage_skill_level, ligne 31-33 (fabric. meubles ; autres ind.manufact. ; rép. et inst. machines), niveau de compétence 2 (tâches pratiques) : CHF 5'863.- par mois ou CHF 70'356.- par année en 2014. 3 NOGA p. 109 et ESS 2014 – Tabelle TA1_tirage_skill_level, ligne 31-33 (fabric. Meubles ; autres ind.manufact. ; rép. et inst. machines), niveau de compétence 1 (tâches simples) : CHF 5'390.- par mois ou CHF 64'680.- par année en 2014. 4 NOGA p. 120 et ESS 2014 – Tabelle TA1_tirage_skill_level, ligne 41-43 (construction), niveau de compétence 1 (tâches simples) : CHF 5'507.- par mois ou CHF 66'084.- par année en 2014.</w:t>
      </w:r>
    </w:p>
    <w:p>
      <w:r>
        <w:t>A/3074/2024 - 22/25 - 5 NOGA p. 159 et ESS 2014 – Tabelle TA1_tirage_skill_level, ligne 49-52 (transports terrestres, par eau, aérien ; entreposage), niveau de compétence 1 (tâches simples) : CHF 5'048.- par mois ou CHF 60'576.- par année en 2014. 6 NOGA p. 222 et ESS 2014 – Tabelle TA1_tirage_skill_level, ligne 85 (enseignement), niveau de compétence 1 (tâches simples) : pas assez de données pour 2014.</w:t>
      </w:r>
    </w:p>
    <w:p>
      <w:r>
        <w:t>En 2018, le salaire statistique était de CHF 5'555.- pour un homme et de CHF 4'630.- pour une femme. En 2014, ce même salaire statistique était de CHF 4'217.- pour une femme. Le salaire 2014 correspond à 91 % du salaire 2016 pour une femme (CHF 4'217.- / CHF 4'630.-). Appliqué au salaire 2018 pour un homme, cela correspondrait en 2014 à un salaire mensuel de CHF 5'059.- (CHF 5'555.- x 91 %) et annuel de CHF 60'708.-. 7 Salaire annuel adapté à l’horaire sans handicap : CHF 15'540.- (20% de CHF 77'700.-) 8 Salaire annuel adapté à l’horaire sans handicap : CHF 35'178.- (50% de CHF 70'356.-) 9 Salaire annuel adapté à l’horaire sans handicap : CHF 9'702.- (15% de CHF 64'680.-) 10 Salaire annuel adapté à l’horaire sans handicap : CHF 9'912.60 (15% de CHF 66'084.-) 11 Salaire annuel adapté à l’horaire avec handicap : CHF 5'827.50 (7.5 % de CHF 77'700.-) 12 Salaire annuel adapté à l’horaire avec handicap : CHF 4'042.50 (6.25% de CHF 64'680.-) 13 Salaire annuel adapté à l’horaire avec handicap : CHF 1'515.40 (2.5% de CHF 60'576.) 14 Salaire annuel adapté à l’horaire avec handicap : CHF 2'276.55 (3.75% de CHF 60'708.-). 15 Invalidité = (perte de gain / salaire annuel hypothétique sans invalidité) x 100 soit CHF 56'670.15 / CHF 70'332.60 x 100 = 80.57% À noter que l’activité de bateau-école ne peut être prise en considération que jusqu’en 2019. Toutefois, dès lors que même en prenant en considération cette activité, le degré d’invalidité s’élève à 80.57%, arrondi à l’entier le plus proche, qui est 81%, ce qui est supérieur au seuil pour donner droit à une rente entière, il est superflu de refaire le calcul en faisant abstraction de cette activité. 6.3 Au vu du degré d’invalidité de 81%, c’est une rente entière qui aurait dû être accordée au recourant, de sorte que les décisions querellées doivent être réformées dans ce sens. 7. Reste à déterminer si les intérêts moratoires dus ont été correctement calculés par l’office intimé. 7.1 Depuis le 1er janvier 2003, l'art. 26 al. 2 LPGA prévoit que des intérêts moratoires sont dus pour toute créance de prestations d'assurances sociales à l'échéance d'un délai de 24 mois à compter de la naissance du droit, mais au plus tôt 12 mois à partir du moment où l'assuré a fait valoir ce droit, pour autant qu'il se soit entièrement conformé à l'obligation de collaborer qui lui incombe. N’ont en revanche pas droit à des intérêts moratoires : a. la personne ayant droit aux prestations ou ses héritiers, lorsque les prestations sont versées rétroactivement à des tiers ; b. les tiers qui ont consenti des avances ou provisoirement pris en charge des prestations au sens de l’art. 22 al. 2, et auxquels les prestations accordées rétroactivement ont été cédées ; c. les autres assurances sociales qui ont provisoirement pris en charge des prestations au sens de l’art. 70.</w:t>
      </w:r>
    </w:p>
    <w:p>
      <w:r>
        <w:t>A/3074/2024 - 23/25 - À teneur de l’art. 7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[désormais art. 26 al. 3 LPGA], que sur une partie de la prestation, il sera calculé au moment du paiement sur la prestation entière et sera versé en proportion de la part de prestation sur laquelle les intérêts sont dus par rapport à l’intégralité de la prestation (al. 3). L’obligation de payer des intérêts moratoires selon l’art. 26 al. 2 LPGA commence 24 mois après le droit à la rente en tant que tel pour l’ensemble des prestations courues jusque-là, et non pas deux ans après l’exigibilité de chaque rente mensuelle (ATF 133 V 9 consid. 3.6). 7.2 Sont soumises à la perception d’intérêts moratoires uniquement les prestations dont le versement est opéré en mains de l’ayant droit ou de ses héritiers, ou en mains de tiers, dans la mesure où il s’agit de garantir une utilisation conforme au but (ch. 10122 DR). Le ch. 10123 DR reprend et précise l’art. 26 al. 3 LPGA. Ainsi, les intérêts moratoires ne sont pas dus si la personne concernée n’a subi aucun dommage du fait que les prestations en souffrance lui ont été attribuées par d’autres prestataires. Tel est le cas si : - un tiers (employeur, aide sociale publique ou privée, assureur RC) a effectué des avances moyennant cession des prestations accordées rétroactivement (art. 22 al. 2 LPGA, art. 85bis RAI) - d’autres assurance sociales (AMal, AA, AM, AC) ont consenti des avances au sens de l’art. 70 LPGA - des organes d’exécution de l’AVS/AI ou des PC ont consenti des avances. Quant au ch. 10124 DR, il rappelle les principes prévus par l’art. 7 al. 3 OPGA. Ainsi, si le versement rétroactif n’est que partiellement compensé au sens du ch. 10123, les intérêts moratoires sont dus uniquement sur la part versée à l’ayant droit. Il en va de même dans les cas où il existe un lien étroit entre les prestations sous l’angle du droit des assurances sociales. Dès lors, il n’existe aucun droit aux intérêts moratoires pour la part de la rente due qui est compensée avec la créance en restitution. Ils seront calculés au moment du paiement sur la prestation entière et versés en proportion de la part de prestation sur laquelle les intérêts sont dus par rapport à l’intégralité de la prestation (art. 7 al. 3 OPGA).</w:t>
      </w:r>
    </w:p>
    <w:p>
      <w:r>
        <w:t>A/3074/2024 - 24/25 - 8. En l’espèce, l’intimé a calculé les intérêts moratoires conformément à ces dispositions, de sorte que sur le principe, aucune critique ne peut être formulée. En revanche, dès lors que la décision attaquée a été réformée en ce sens qu’une rente entière – et non trois quarts de rente – doit être versée au recourant, le montant des intérêts moratoires est incorrect. Par conséquent, la cause sera renvoyée à l’intimé pour nouveau calcul des intérêts moratoires dus sur la base d’une rente d’invalidité entière. 9. Le recours est admis. Les décisions du 15 août 2024 de l’intimé sont réformées, en ce sens que c’est une rente entière qui doit être versée au recourant du 1er février 2015 au 30 novembre 2020. La cause est renvoyée à l’OAI pour nouveau calcul en ce qui concerne les intérêts moratoires et nouvelle décision. Le recourant obtenant gain de cause, une indemnité de CHF 1'500.- lui sera accordée à titre de participation à ses frais et dépens, à la charge de l’intimé (art. 61 let. g LPGA ; art. 6 du règlement sur les frais, émoluments et indemnités en matière administrative du 30 juillet 1986 [RFPA - E 5 10.03]). Au vu du sort du recours, il y a lieu de condamner l'intimé au paiement d'un émolument de CHF 200.- (art. 69 al. 1bis LAI).</w:t>
      </w:r>
    </w:p>
    <w:p>
      <w:r>
        <w:t>A/3074/2024 - 25/25 -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