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ATAS/718/2016 vom 12. September 2016</w:t>
      </w:r>
    </w:p>
    <w:p>
      <w:r>
        <w:t>GE Cour de justice, 2016-09-12, FR</w:t>
      </w:r>
    </w:p>
    <w:p>
      <w:r>
        <w:rPr>
          <w:b/>
        </w:rPr>
        <w:t xml:space="preserve">Quelle: </w:t>
      </w:r>
      <w:r>
        <w:t>https://mcp.opencaselaw.ch/entscheid/ge_gerichte_ATAS_718_2016</w:t>
      </w:r>
    </w:p>
    <w:p>
      <w:r>
        <w:t>FR: GE_GERICHTE ATAS/718/2016 du 12 septembre 2016</w:t>
      </w:r>
    </w:p>
    <w:p>
      <w:r>
        <w:t>IT: GE_GERICHTE ATAS/718/2016 del 12 settembre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En l'espèce, les faits juridiquement déterminants remontent à 2013. Par conséquent, le droit éventuel aux prestations doit être examiné au regard des dispositions de la LPGA et de la LAI, dans sa teneur en vigueur depuis le 1er janvier 2012 (ATF 130 V 445 et les références; voir également ATF 130 V 329).</w:t>
      </w:r>
    </w:p>
    <w:p>
      <w:r>
        <w:rPr>
          <w:b/>
        </w:rPr>
        <w:t>E. 3</w:t>
      </w:r>
    </w:p>
    <w:p>
      <w:r>
        <w:t>Le délai de recours est de 30 jours. Interjeté dans la forme et le délai prévus par la loi, le recours est recevable (art. 60 et 61 let. b LPGA).</w:t>
      </w:r>
    </w:p>
    <w:p>
      <w:r>
        <w:t>A/109/2016 - 7/14 -</w:t>
      </w:r>
    </w:p>
    <w:p>
      <w:r>
        <w:rPr>
          <w:b/>
        </w:rPr>
        <w:t>E. 4</w:t>
      </w:r>
    </w:p>
    <w:p>
      <w:r>
        <w:t>Le litige porte sur le droit du recourant à des prestations d’invalidité, singulièrement sur sa capacité de travail.</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 Selon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En d'autres termes, l’assuré n'a droit à l'intégralité des prestations que s’il a présenté sa demande dans le délai de six mois à partir de la survenance de l'incapacité de gain. Si il le fait plus tard, il perd son droit pour chaque mois de retard (arrêt du Tribunal fédéral 9C_432/2012 du 31 août 2012 consid. 3.3 ; Michel VALTERIO, Droit de l’assurance-vieillesse et survivants (AVS) et de l’assurance-invalidité (AI) – Commentaire thématique, 2011, n°2187 ss).</w:t>
      </w:r>
    </w:p>
    <w:p>
      <w:r>
        <w:rPr>
          <w:b/>
        </w:rPr>
        <w:t>E. 7</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A/109/2016 - 8/14 -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il y a lieu de se référer aux données statistiques, telles qu’elles résultent des enquêtes sur la structure des salaires de l’Office fédéral de la statistique (ATF 135 V 297 consid. 5.2 ; ATF 129 V 472 consid. 4.2.1 ; ATF 126 V 75 consid. 3b).</w:t>
      </w:r>
    </w:p>
    <w:p>
      <w:r>
        <w:rPr>
          <w:b/>
        </w:rPr>
        <w:t>E. 8</w:t>
      </w:r>
    </w:p>
    <w:p>
      <w:r>
        <w:t>a. Lorsqu'il n'est pas possible d'établir ou d'évaluer de manière fiable les deux revenus provenant d'une activité lucrative, il faut appliquer la méthode extraordinaire d'évaluation de l'invalidité (ATF 128 V 30 consid. 1). Selon cette méthode, on commence par déterminer, sur la base d'une comparaison des activités,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30 consid.1; ATF 104 V 136 consid. 2; VSI 1998 p. 122 consid. 2a et p. 257 consid. 2b). b. La méthode extraordinaire est souvent utilisée pour les indépendants, principalement ceux qui travaillent dans l'agriculture ou qui exercent un métier manuel lorsque, en raison de leur état de santé, ils se voient contraints d'abandonner l'activité qu'ils exercent à titre principal et de modifier la structure de leur exploitation par l'engagement de nouveaux collaborateurs (VALTERIO, Droit de l'assurance-vieillesse et survivants (AVS) et de l'assurance-invalidité (AI), Schulthess, 2011, ch. 2183).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w:t>
      </w:r>
    </w:p>
    <w:p>
      <w:r>
        <w:t>A/109/2016 - 9/14 -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(VSI 2/1998 p. 122 consid. 2c; VSI 5/1998 p. 255 consid. 4a; RCC 1979, p. 228ss; ATAS/112/2009; ATAS 526/2005). c.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du Tribunal fédéral 9C_394/2009 du 8 janvier 2010 consid. 5.2 ss).</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A/109/2016 - 10/14 - description des interférences médicales soit claire et enfin que les conclusions de l'expert soient bien motivées (ATF 134 V 231 consid. 5.1; 133 V 450 consid. 11.1.3; 125 V 351 consid. 3). Sans remettre en cause le principe de la libre appréciation des preuves, le Tribunal fédéral des assurances a posé des lignes directrices en ce qui concerne la manière d'apprécier certains types d'expertises ou de rapports médicaux.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10</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w:t>
      </w:r>
    </w:p>
    <w:p>
      <w:r>
        <w:t>A/109/2016 - 11/14 -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w:t>
      </w:r>
    </w:p>
    <w:p>
      <w:r>
        <w:rPr>
          <w:b/>
        </w:rPr>
        <w:t>E. 11</w:t>
      </w:r>
    </w:p>
    <w:p>
      <w:r>
        <w:t>Il convient d’examiner quelles sont les répercussions des atteintes à la santé présentée par le recourant sur sa capacité de travail, depuis son accident du 31 juillet 2013. Dans ses rapports de synthèse des 26 juin et 1er décembre 2015, la Dresse F______ du SMR retient, sur la base du rapport du Dr D______, que l’assuré a été incapable de travailler du 31 juillet 2014 (recte : 2013) au 24 avril 2014, suite à quoi il a recouvré sa pleine capacité de travail, sous réserve d’une nouvelle incapacité transitoire du 9 septembre au 12 octobre 2014 en lien avec une ablation chirurgicale du matériel d’ostéosynthèse. Elle estime que la profession de bijoutier-joailler- sertisseur est compatible avec les limitations de l’assuré, relatives à l’alternance des positions, au port de charges supérieures à 10 kilogrammes, aux rotations du tronc et aux positions penchées et en porte-à-faux du rachis. De son côté, le recourant conteste avoir recouvré sa pleine capacité de travail le 24 avril 2014. Il se prévaut des rapports de la Dresse C______, son médecin-traitant, et du Dr H______, spécialiste FMH en rhumatologie.</w:t>
      </w:r>
    </w:p>
    <w:p>
      <w:r>
        <w:rPr>
          <w:b/>
        </w:rPr>
        <w:t>E. 12</w:t>
      </w:r>
    </w:p>
    <w:p>
      <w:r>
        <w:t>En l'espèce, il sied de relever d'emblée que les rapports de synthèse établis par le SMR les 26 juin et 1er décembre 2015 ne reposent pas sur des observations cliniques auxquelles ce service aurait lui-même procédé, mais sur une brève analyse des rapports versés au dossier et plus particulièrement sur celui du Dr D______, spécialiste FMH en chirurgie et traumatologie. Force est de constater que ce rapport du Dr D______ est succinct, qu’il ne précise pas sur quels examens cliniques il se fonde, et qu’il ne contient aucune anamnèse hormis la mention que l’assuré a subi un accident de parapente puis deux opérations à Berne en août 2013. Ses conclusions attestant de la récupération d’une pleine capacité de travail dans l’activité de bijoutier sont peu motivées et semblent reposer essentiellement sur le fait que l’assuré, lors de sa consultation du 24 avril 2014, n'a pas signalé au chirurgien D______ de limitations majeures dans son activité professionnelle. Il paraît toutefois opportun de relever qu’à cette date, cela ne faisait que trois semaines que l’assuré avait repris son travail, de surcroît à un taux réduit</w:t>
      </w:r>
    </w:p>
    <w:p>
      <w:r>
        <w:t>A/109/2016 - 12/14 - de 20% (cf. rapport d’évaluation du 5 mai 2014), et qu’une ablation chirurgicale du matériel d’ostéosynthèse devait encore être effectuée. On peut dès lors douter que le Dr D______ bénéficiait, en avril 2014, d'un recul suffisant pour attester de manière sûre du recouvrement d’une pleine capacité de travail. On peut regretter, au demeurant, que ce chirugien n’ait jamais été invité par l’intimé à se prononcer sur les conclusions divergentes formulées par les autres médecins de l’assuré. S’agissant des conclusions de la Dresse C______ et du Dr H______ attestant d’une capacité de travail restant limitée à 60%, elles divergent sensiblement de la pleine capacité de travail retenue par le Dr D______ depuis la fin du mois d’avril 2014. Cette divergence, cumulée aux réserves qui viennent d’être exposées ci-dessus, est de nature à jeter un doute quant à la valeur probante des conclusions du Dr D______ sur lesquelles repose la décision attaquée. Il n’est toutefois pas possible de lever ce doute sur la base de la documentation médicale versée au dossier. En effet, les rapports des Drs C______ et H______ sont peu détaillés eux aussi, et ils ne motivent pas le taux de capacité de travail retenu de 60%, qui correspond apparemment au taux d’activité effectif de l’assuré. En outre, leur status clinique est bref voire inexistant : le Dr H______ relate des douleurs para-vertébrale L3-S1 et un déficit de coordination et de proprioception, tandis que la Dresse C______ confirme des douleurs dorsales à l’effort et lors du maintien de la position assise ainsi qu’une fatigabilité, sans autre précision. Enfin, il convient de relever que ces médecins se sont seulement exprimés sur la capacité de l’assuré à exercer son activité indépendante habituelle, sans préciser toutefois si une autre activité potentiellement mieux adaptée à ses limitations était envisageable, le cas échéant à quel taux. Au vu de ce qui précède, il n’y a pas lieu de reconnaître, sans instruction complémentaire, une pleine valeur probante aux conclusions du Dr D______ et aux rapports de synthèse du SMR. Il en va de même des rapports des Drs C______ et H______. On précisera, s’agissant des deux rapports de synthèse précisés, qu'il convient de faire preuve de réserve vis-à-vis de ceux-ci, dès lors qu'ils ne reposent pas sur des observations cliniques auxquelles les médecins du SMR auraient personnellement procédé, mais exclusivement sur les informations versées au dossier, qui s’avèrent insuffisantes en l’occurrence (arrêt du Tribunal fédéral 9C_ 578/2009 du 29 décembre 2009 consid. 3.2 in fine).</w:t>
      </w:r>
    </w:p>
    <w:p>
      <w:r>
        <w:rPr>
          <w:b/>
        </w:rPr>
        <w:t>E. 13</w:t>
      </w:r>
    </w:p>
    <w:p>
      <w:r>
        <w:t>En définitive, la Chambre de céans constate que la cause est insuffisamment instruite, de sorte qu’elle n’est pas en mesure de tirer des conclusions définitives quant aux répercussions des atteintes lombaires du recourant sur sa capacité à exercer son activité habituelle et, le cas échéant, une autre activité adaptée à ses limitations. Il se justifie en conséquence d’admettre partiellement le recours, d’annuler la décision du 4 décembre 2015 et de renvoyer la cause à l’OAI pour instruction complémentaire, étant rappelé qu’il n’appartient pas au juge de suppléer aux</w:t>
      </w:r>
    </w:p>
    <w:p>
      <w:r>
        <w:t>A/109/2016 - 13/14 - carences de l’instruction menée par l’administration. Afin de départager les conclusions divergentes des médecins sur la capacité de travail, il appartiendra à l’intimé de mettre en œuvre une expertise confiée à un expert indépendant, selon la procédure prévue à l’art. 44 LPGA. L’expert se prononcera sur la capacité de travail et son évolution depuis le 31 juillet 2013, date de l'accident de parapente, en tenant compte de l’ensemble des rapports médicaux versés au dossier, y compris ceux produits à l’appui du recours.</w:t>
      </w:r>
    </w:p>
    <w:p>
      <w:r>
        <w:rPr>
          <w:b/>
        </w:rPr>
        <w:t>E. 14</w:t>
      </w:r>
    </w:p>
    <w:p>
      <w:r>
        <w:t>Enfin, la Cour observe que l’intimé n’a pas calculé le degré d’invalidité ni examiné quelle méthode d’évaluation de l’invalidité était applicable, dans la mesure où il est parti du principe que l’assuré n’avait pas subi d’incapacité de travail d’au moins 40% pendant une année (art. 28 al. 1 let. b LAI). Dès lors, il lui appartiendra, si les conclusions de l’expertise l’imposent, de déterminer si une comparaison des revenus selon la méthode ordinaire peut être effectuée ou s’il convient au contraire de recourir à la méthode extraordinaire d’évaluation de l’invalidité, laquelle est fréquemment utilisée pour les indépendants (cf. supra consid. 8). Si l’hypothèse d’une incapacité de travail de 40% pendant au moins une année se vérifie, l’intimé intégrera à sa nouvelle décision un calcul du degré d’invalidité conforme au droit, en précisant le statut et la méthode d’évaluation de l’invalidité sur lesquels il se fonde.</w:t>
      </w:r>
    </w:p>
    <w:p>
      <w:r>
        <w:rPr>
          <w:b/>
        </w:rPr>
        <w:t>E. 15</w:t>
      </w:r>
    </w:p>
    <w:p>
      <w:r>
        <w:t>La procédure de recours en matière de contestation portant sur l’octroi ou le refus de prestations de l’assurance-invalidité étant soumise à des frais de justice, un émolument de CHF 500.- est mis à charge de l’intimé (art. 69 al. 1 bis LAI).</w:t>
      </w:r>
    </w:p>
    <w:p>
      <w:r>
        <w:t>A/109/2016 - 14/14 - PAR CES MOTIFS, LA CHAMBRE DES ASSURANCES SOCIALES : Statuant À la forme : 1. Déclare le recours recevable. Au fond : 2. L’admet partiellement et annule la décision du 4 décembre 2015. 3. Renvoie le dossier à l’intimé pour instruction complémentaire et nouvelle décision dans le sens des considérants. 4. Met un émolument de CHF 500.- à la charge de l’intimé.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